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FC" w:rsidRPr="00717841" w:rsidRDefault="009E17FC" w:rsidP="00FA3622">
      <w:pPr>
        <w:spacing w:beforeLines="250" w:before="600" w:after="200" w:line="420" w:lineRule="atLeast"/>
        <w:jc w:val="center"/>
        <w:rPr>
          <w:rFonts w:ascii="華康正顏楷體 Std W5" w:eastAsia="華康正顏楷體 Std W5" w:hAnsi="華康正顏楷體 Std W5"/>
          <w:color w:val="000000" w:themeColor="text1"/>
          <w:spacing w:val="20"/>
          <w:sz w:val="44"/>
          <w:szCs w:val="4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20"/>
          <w:sz w:val="44"/>
          <w:szCs w:val="44"/>
        </w:rPr>
        <w:t>財團法人李模務實法學基金會</w:t>
      </w:r>
    </w:p>
    <w:p w:rsidR="009E17FC" w:rsidRPr="00717841" w:rsidRDefault="00BC4C64" w:rsidP="002A456D">
      <w:pPr>
        <w:spacing w:beforeLines="150" w:before="360" w:after="480" w:line="420" w:lineRule="atLeast"/>
        <w:jc w:val="center"/>
        <w:rPr>
          <w:rFonts w:ascii="華康正顏楷體 Std W5" w:eastAsia="華康正顏楷體 Std W5" w:hAnsi="華康正顏楷體 Std W5"/>
          <w:color w:val="000000" w:themeColor="text1"/>
          <w:sz w:val="30"/>
          <w:szCs w:val="30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 w:val="30"/>
          <w:szCs w:val="30"/>
        </w:rPr>
        <w:t>一</w:t>
      </w:r>
      <w:r w:rsidR="00A905EA">
        <w:rPr>
          <w:rFonts w:ascii="華康正顏楷體 Std W5" w:eastAsia="華康正顏楷體 Std W5" w:hAnsi="華康正顏楷體 Std W5" w:hint="eastAsia"/>
          <w:color w:val="000000" w:themeColor="text1"/>
          <w:spacing w:val="2"/>
          <w:sz w:val="30"/>
          <w:szCs w:val="30"/>
        </w:rPr>
        <w:t>一</w:t>
      </w:r>
      <w:r w:rsidR="00BA2026">
        <w:rPr>
          <w:rFonts w:ascii="華康正顏楷體 Std W5" w:eastAsia="華康正顏楷體 Std W5" w:hAnsi="華康正顏楷體 Std W5" w:hint="eastAsia"/>
          <w:color w:val="000000" w:themeColor="text1"/>
          <w:spacing w:val="2"/>
          <w:sz w:val="30"/>
          <w:szCs w:val="30"/>
        </w:rPr>
        <w:t>二</w:t>
      </w:r>
      <w:r w:rsidR="009E17FC" w:rsidRPr="00717841">
        <w:rPr>
          <w:rFonts w:ascii="華康正顏楷體 Std W5" w:eastAsia="華康正顏楷體 Std W5" w:hAnsi="華康正顏楷體 Std W5"/>
          <w:color w:val="000000" w:themeColor="text1"/>
          <w:spacing w:val="2"/>
          <w:sz w:val="30"/>
          <w:szCs w:val="30"/>
        </w:rPr>
        <w:t>年度第</w:t>
      </w:r>
      <w:r w:rsidR="00AE59AD" w:rsidRPr="00717841">
        <w:rPr>
          <w:rFonts w:ascii="華康正顏楷體 Std W5" w:eastAsia="華康正顏楷體 Std W5" w:hAnsi="華康正顏楷體 Std W5"/>
          <w:color w:val="000000" w:themeColor="text1"/>
          <w:spacing w:val="2"/>
          <w:sz w:val="30"/>
          <w:szCs w:val="30"/>
        </w:rPr>
        <w:t>二十</w:t>
      </w:r>
      <w:r w:rsidR="00BA2026">
        <w:rPr>
          <w:rFonts w:ascii="華康正顏楷體 Std W5" w:eastAsia="華康正顏楷體 Std W5" w:hAnsi="華康正顏楷體 Std W5" w:hint="eastAsia"/>
          <w:color w:val="000000" w:themeColor="text1"/>
          <w:spacing w:val="2"/>
          <w:sz w:val="30"/>
          <w:szCs w:val="30"/>
        </w:rPr>
        <w:t>八</w:t>
      </w:r>
      <w:r w:rsidR="009E17FC" w:rsidRPr="00717841">
        <w:rPr>
          <w:rFonts w:ascii="華康正顏楷體 Std W5" w:eastAsia="華康正顏楷體 Std W5" w:hAnsi="華康正顏楷體 Std W5"/>
          <w:color w:val="000000" w:themeColor="text1"/>
          <w:spacing w:val="2"/>
          <w:sz w:val="30"/>
          <w:szCs w:val="30"/>
        </w:rPr>
        <w:t>屆法學論文徵選辦法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jc w:val="both"/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一、宗旨：</w:t>
      </w:r>
      <w:r w:rsidR="003B5A9B"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 xml:space="preserve"> </w:t>
      </w:r>
    </w:p>
    <w:p w:rsidR="009E17FC" w:rsidRPr="00717841" w:rsidRDefault="009E17FC" w:rsidP="002A456D">
      <w:pPr>
        <w:pStyle w:val="a5"/>
        <w:spacing w:beforeLines="30" w:before="72" w:afterLines="10" w:after="24" w:line="320" w:lineRule="exact"/>
        <w:ind w:left="518"/>
        <w:jc w:val="both"/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  <w:t>鼓勵法學研究，著重司法實踐，促進法治建設，並達成下列目標：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1134" w:hanging="675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（一）以法律實務問題之研究為中心，配合改進審判素質、確立司法公信。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1134" w:hanging="675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（二）對於足以維護正義與是非之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傑出判解加以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宣揚，予以精神上之獎勵。</w:t>
      </w:r>
    </w:p>
    <w:p w:rsidR="009E17FC" w:rsidRPr="00717841" w:rsidRDefault="009E17FC" w:rsidP="002A456D">
      <w:pPr>
        <w:pStyle w:val="2"/>
        <w:spacing w:beforeLines="30" w:before="72" w:afterLines="10" w:after="24" w:line="320" w:lineRule="exact"/>
        <w:jc w:val="both"/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  <w:t>（三）對於具有瑕疵之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  <w:t>判解明確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  <w:t>提供商榷意見，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  <w:t>俾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z w:val="24"/>
          <w:szCs w:val="24"/>
        </w:rPr>
        <w:t>供學術研究與改進之參考。</w:t>
      </w:r>
    </w:p>
    <w:p w:rsidR="009A7879" w:rsidRPr="00717841" w:rsidRDefault="009E17FC" w:rsidP="002A456D">
      <w:pPr>
        <w:adjustRightInd w:val="0"/>
        <w:snapToGrid w:val="0"/>
        <w:spacing w:beforeLines="30" w:before="72" w:afterLines="10" w:after="24" w:line="320" w:lineRule="exact"/>
        <w:ind w:leftChars="-5" w:left="261" w:hangingChars="105" w:hanging="273"/>
        <w:jc w:val="both"/>
        <w:rPr>
          <w:rFonts w:ascii="華康正顏楷體 Std W5" w:eastAsia="華康正顏楷體 Std W5" w:hAnsi="華康正顏楷體 Std W5"/>
          <w:color w:val="FF0000"/>
          <w:spacing w:val="2"/>
          <w:szCs w:val="24"/>
          <w:u w:val="single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二、本屆徵選主題：</w:t>
      </w:r>
      <w:r w:rsidR="009A7879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1.</w:t>
      </w:r>
      <w:r w:rsidR="00D014AB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 xml:space="preserve"> 大法官解釋與法院憲法裁判之研究</w:t>
      </w:r>
    </w:p>
    <w:p w:rsidR="009E17FC" w:rsidRPr="00717841" w:rsidRDefault="009A7879" w:rsidP="002A456D">
      <w:pPr>
        <w:snapToGrid w:val="0"/>
        <w:spacing w:beforeLines="30" w:before="72" w:afterLines="10" w:after="24" w:line="320" w:lineRule="exact"/>
        <w:ind w:leftChars="974" w:left="2338"/>
        <w:jc w:val="both"/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2.</w:t>
      </w:r>
      <w:r w:rsidR="00D014AB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 xml:space="preserve"> 最高法院或最高行政法院裁判之研究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2520" w:hangingChars="1050" w:hanging="2520"/>
        <w:jc w:val="both"/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      </w:t>
      </w:r>
      <w:r w:rsidR="003546C7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          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（</w:t>
      </w:r>
      <w:r w:rsidR="0060279A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謹接受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未曾</w:t>
      </w:r>
      <w:r w:rsidR="0060279A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公開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發表之</w:t>
      </w:r>
      <w:r w:rsidR="00A61236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中文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論文</w:t>
      </w:r>
      <w:r w:rsidR="003F47F2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，請勿一稿多投</w:t>
      </w:r>
      <w:r w:rsidR="00BE7C9F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並以</w:t>
      </w:r>
      <w:r w:rsidR="00882C83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一人</w:t>
      </w:r>
      <w:r w:rsidR="00BE7C9F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投</w:t>
      </w:r>
      <w:r w:rsidR="00882C83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稿</w:t>
      </w:r>
      <w:r w:rsidR="00BE7C9F"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一篇為限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-2"/>
          <w:szCs w:val="24"/>
        </w:rPr>
        <w:t>）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三、篇幅：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每篇以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不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逾一萬五千字為原則(含標點符號、註解)。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1862" w:hanging="1862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四、徵選期限：</w:t>
      </w:r>
      <w:r w:rsidRPr="00D02B4F">
        <w:rPr>
          <w:rFonts w:ascii="華康正顏楷體 Std W5" w:eastAsia="華康正顏楷體 Std W5" w:hAnsi="華康正顏楷體 Std W5"/>
          <w:color w:val="000000" w:themeColor="text1"/>
          <w:szCs w:val="24"/>
        </w:rPr>
        <w:t>即</w:t>
      </w:r>
      <w:r w:rsidR="00577ED8" w:rsidRPr="00D02B4F">
        <w:rPr>
          <w:rFonts w:ascii="華康正顏楷體 Std W5" w:eastAsia="華康正顏楷體 Std W5" w:hAnsi="華康正顏楷體 Std W5" w:hint="eastAsia"/>
          <w:color w:val="000000" w:themeColor="text1"/>
          <w:szCs w:val="24"/>
        </w:rPr>
        <w:t>日</w:t>
      </w:r>
      <w:r w:rsidRPr="00D02B4F">
        <w:rPr>
          <w:rFonts w:ascii="華康正顏楷體 Std W5" w:eastAsia="華康正顏楷體 Std W5" w:hAnsi="華康正顏楷體 Std W5"/>
          <w:color w:val="000000" w:themeColor="text1"/>
          <w:szCs w:val="24"/>
        </w:rPr>
        <w:t>起至</w:t>
      </w:r>
      <w:r w:rsidR="00587520" w:rsidRPr="00D02B4F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1</w:t>
      </w:r>
      <w:r w:rsidR="00A905EA">
        <w:rPr>
          <w:rFonts w:ascii="華康正顏楷體 Std W5" w:eastAsia="華康正顏楷體 Std W5" w:hAnsi="華康正顏楷體 Std W5" w:hint="eastAsia"/>
          <w:color w:val="000000" w:themeColor="text1"/>
          <w:spacing w:val="2"/>
          <w:szCs w:val="24"/>
        </w:rPr>
        <w:t>1</w:t>
      </w:r>
      <w:r w:rsidR="00EA64DB">
        <w:rPr>
          <w:rFonts w:ascii="華康正顏楷體 Std W5" w:eastAsia="華康正顏楷體 Std W5" w:hAnsi="華康正顏楷體 Std W5" w:hint="eastAsia"/>
          <w:color w:val="000000" w:themeColor="text1"/>
          <w:spacing w:val="2"/>
          <w:szCs w:val="24"/>
        </w:rPr>
        <w:t>2</w:t>
      </w:r>
      <w:r w:rsidRPr="00D02B4F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年</w:t>
      </w:r>
      <w:r w:rsidR="00587520" w:rsidRPr="00D02B4F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9</w:t>
      </w:r>
      <w:r w:rsidRPr="00D02B4F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月</w:t>
      </w:r>
      <w:r w:rsidR="00EA64DB">
        <w:rPr>
          <w:rFonts w:ascii="華康正顏楷體 Std W5" w:eastAsia="華康正顏楷體 Std W5" w:hAnsi="華康正顏楷體 Std W5" w:hint="eastAsia"/>
          <w:color w:val="000000" w:themeColor="text1"/>
          <w:spacing w:val="2"/>
          <w:szCs w:val="24"/>
        </w:rPr>
        <w:t>5</w:t>
      </w:r>
      <w:r w:rsidRPr="00D02B4F">
        <w:rPr>
          <w:rFonts w:ascii="華康正顏楷體 Std W5" w:eastAsia="華康正顏楷體 Std W5" w:hAnsi="華康正顏楷體 Std W5"/>
          <w:color w:val="000000" w:themeColor="text1"/>
          <w:szCs w:val="24"/>
        </w:rPr>
        <w:t>日止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。預定</w:t>
      </w:r>
      <w:r w:rsidR="0040025B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12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月下旬公佈結果。 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五、名額及獎金：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第一名</w:t>
      </w:r>
      <w:r w:rsidR="003546C7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一名　  獎金新台幣十萬元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2087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第二名</w:t>
      </w:r>
      <w:r w:rsidR="003546C7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一名　  獎金新台幣五萬元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2087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第三名</w:t>
      </w:r>
      <w:r w:rsidR="003546C7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一名    獎金新台幣三萬元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2087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佳</w:t>
      </w:r>
      <w:r w:rsidR="003546C7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作 </w:t>
      </w:r>
      <w:r w:rsidR="003546C7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五名　  獎金新台幣各一萬元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firstLine="532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前列名額得由本會視評審結果酌</w:t>
      </w:r>
      <w:bookmarkStart w:id="0" w:name="_GoBack"/>
      <w:bookmarkEnd w:id="0"/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量增減。</w:t>
      </w:r>
    </w:p>
    <w:p w:rsidR="009E17FC" w:rsidRPr="00717841" w:rsidRDefault="009E17FC" w:rsidP="002926E0">
      <w:pPr>
        <w:snapToGrid w:val="0"/>
        <w:spacing w:beforeLines="30" w:before="72" w:afterLines="10" w:after="24" w:line="320" w:lineRule="exact"/>
        <w:ind w:left="1596" w:hanging="1596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六、應徵手續：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來稿請以A4紙張</w:t>
      </w:r>
      <w:r w:rsidR="0060279A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書面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打字稿，乙式六份，並附</w:t>
      </w:r>
      <w:r w:rsidR="004D0603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光</w:t>
      </w:r>
      <w:r w:rsidR="00816B22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碟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片（格式請詳見下列「七」），連同作者姓名、聯絡地址、聯絡電話、電子郵件地址及個人主要學經歷，以掛號郵寄台北市106</w:t>
      </w:r>
      <w:r w:rsidR="0040025B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96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大安區忠孝東路四段</w:t>
      </w:r>
      <w:r w:rsidR="0040025B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3</w:t>
      </w:r>
      <w:r w:rsidR="00D014AB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33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號</w:t>
      </w:r>
      <w:r w:rsidR="00D014AB"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9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2"/>
          <w:szCs w:val="24"/>
        </w:rPr>
        <w:t>樓李模務實法學基金會收。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jc w:val="both"/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七、為求格式統一，來稿請注意下列事項：</w:t>
      </w:r>
    </w:p>
    <w:p w:rsidR="009E17FC" w:rsidRPr="00717841" w:rsidRDefault="009E17FC" w:rsidP="002A456D">
      <w:pPr>
        <w:numPr>
          <w:ilvl w:val="0"/>
          <w:numId w:val="4"/>
        </w:numPr>
        <w:tabs>
          <w:tab w:val="clear" w:pos="855"/>
          <w:tab w:val="num" w:pos="-462"/>
        </w:tabs>
        <w:snapToGrid w:val="0"/>
        <w:spacing w:beforeLines="30" w:before="72" w:afterLines="10" w:after="24" w:line="320" w:lineRule="exact"/>
        <w:ind w:left="1148" w:hanging="728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請附目次、關鍵詞及五百字以內之摘要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。</w:t>
      </w:r>
    </w:p>
    <w:p w:rsidR="009E17FC" w:rsidRPr="00717841" w:rsidRDefault="009E17FC" w:rsidP="002A456D">
      <w:pPr>
        <w:numPr>
          <w:ilvl w:val="0"/>
          <w:numId w:val="4"/>
        </w:numPr>
        <w:tabs>
          <w:tab w:val="clear" w:pos="855"/>
          <w:tab w:val="num" w:pos="-462"/>
        </w:tabs>
        <w:snapToGrid w:val="0"/>
        <w:spacing w:beforeLines="30" w:before="72" w:afterLines="10" w:after="24" w:line="320" w:lineRule="exact"/>
        <w:ind w:left="1148" w:hanging="728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稿件請由左至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右橫打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，並附註解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。</w:t>
      </w:r>
    </w:p>
    <w:p w:rsidR="009E17FC" w:rsidRPr="00717841" w:rsidRDefault="009E17FC" w:rsidP="002A456D">
      <w:pPr>
        <w:numPr>
          <w:ilvl w:val="0"/>
          <w:numId w:val="4"/>
        </w:numPr>
        <w:tabs>
          <w:tab w:val="clear" w:pos="855"/>
          <w:tab w:val="num" w:pos="-462"/>
        </w:tabs>
        <w:snapToGrid w:val="0"/>
        <w:spacing w:beforeLines="30" w:before="72" w:afterLines="10" w:after="24" w:line="320" w:lineRule="exact"/>
        <w:ind w:left="1146" w:hanging="726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稿件之章節款項，請依照「壹、</w:t>
      </w:r>
      <w:r w:rsidR="004B783A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一、(</w:t>
      </w:r>
      <w:proofErr w:type="gramStart"/>
      <w:r w:rsidR="004B783A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一</w:t>
      </w:r>
      <w:proofErr w:type="gramEnd"/>
      <w:r w:rsidR="004B783A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) 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1</w:t>
      </w:r>
      <w:r w:rsidR="008D3343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.</w:t>
      </w:r>
      <w:r w:rsidR="004B783A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(1)</w:t>
      </w:r>
      <w:proofErr w:type="spellStart"/>
      <w:proofErr w:type="gramStart"/>
      <w:r w:rsidR="008D3343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A.a</w:t>
      </w:r>
      <w:proofErr w:type="spellEnd"/>
      <w:proofErr w:type="gramEnd"/>
      <w:r w:rsidR="008D3343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.</w:t>
      </w:r>
      <w:r w:rsidR="002158A9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 xml:space="preserve"> </w:t>
      </w:r>
      <w:r w:rsidR="004B783A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」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之順序排列。正文中遇有數字，請以</w:t>
      </w:r>
      <w:r w:rsidR="00816B22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阿拉伯數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字顯示，如憲法</w:t>
      </w:r>
      <w:r w:rsidR="00816B22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100</w:t>
      </w:r>
      <w:r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條</w:t>
      </w:r>
      <w:r w:rsidR="00494134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。</w:t>
      </w:r>
    </w:p>
    <w:p w:rsidR="009E17FC" w:rsidRPr="00717841" w:rsidRDefault="00816B22" w:rsidP="002A456D">
      <w:pPr>
        <w:numPr>
          <w:ilvl w:val="0"/>
          <w:numId w:val="4"/>
        </w:numPr>
        <w:tabs>
          <w:tab w:val="clear" w:pos="855"/>
          <w:tab w:val="num" w:pos="-462"/>
        </w:tabs>
        <w:snapToGrid w:val="0"/>
        <w:spacing w:beforeLines="30" w:before="72" w:afterLines="10" w:after="24" w:line="320" w:lineRule="exact"/>
        <w:ind w:left="1162" w:hanging="742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引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註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格式請見本會網站「引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註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格式」</w:t>
      </w:r>
    </w:p>
    <w:p w:rsidR="009E17FC" w:rsidRPr="00717841" w:rsidRDefault="008D3343" w:rsidP="002A456D">
      <w:pPr>
        <w:numPr>
          <w:ilvl w:val="0"/>
          <w:numId w:val="4"/>
        </w:numPr>
        <w:tabs>
          <w:tab w:val="clear" w:pos="855"/>
          <w:tab w:val="num" w:pos="-462"/>
        </w:tabs>
        <w:snapToGrid w:val="0"/>
        <w:spacing w:beforeLines="30" w:before="72" w:afterLines="10" w:after="24" w:line="320" w:lineRule="exact"/>
        <w:ind w:left="1148" w:hanging="728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稿件請以電腦文書處理(建議使用M</w:t>
      </w:r>
      <w:r w:rsidR="00421D4C"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S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 xml:space="preserve"> Word)</w:t>
      </w:r>
      <w:r w:rsidR="009E17FC" w:rsidRPr="00717841">
        <w:rPr>
          <w:rFonts w:ascii="華康正顏楷體 Std W5" w:eastAsia="華康正顏楷體 Std W5" w:hAnsi="華康正顏楷體 Std W5"/>
          <w:color w:val="000000" w:themeColor="text1"/>
          <w:szCs w:val="24"/>
        </w:rPr>
        <w:t>。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518" w:hanging="518"/>
        <w:jc w:val="both"/>
        <w:rPr>
          <w:rFonts w:ascii="華康正顏楷體 Std W5" w:eastAsia="華康正顏楷體 Std W5" w:hAnsi="華康正顏楷體 Std W5"/>
          <w:color w:val="000000" w:themeColor="text1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八、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得獎論文本會得予集結出版，另本會亦得將論文全文、摘要或摘錄部分內容登載於本會網站或其他由本會印製、出版之刊物，均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不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另給酬。出版前並得請求得獎者依學術論文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規格潤修其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論文。</w:t>
      </w:r>
    </w:p>
    <w:p w:rsidR="009E17FC" w:rsidRPr="00717841" w:rsidRDefault="009E17FC" w:rsidP="002A456D">
      <w:pPr>
        <w:snapToGrid w:val="0"/>
        <w:spacing w:beforeLines="30" w:before="72" w:afterLines="10" w:after="24" w:line="320" w:lineRule="exact"/>
        <w:ind w:left="504" w:hanging="504"/>
        <w:jc w:val="both"/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z w:val="26"/>
          <w:szCs w:val="26"/>
        </w:rPr>
        <w:t>九、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本會辦理徵文相關資訊，請參考本會網站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（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http//www.limo.com.tw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）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。如有任何疑義，請利用電子郵件:limo</w:t>
      </w:r>
      <w:r w:rsidR="005C6763"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.law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@</w:t>
      </w:r>
      <w:r w:rsidR="005C6763"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msa.hinet.net</w:t>
      </w: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  <w:t>或電洽:(02)2711-9300。</w:t>
      </w:r>
    </w:p>
    <w:p w:rsidR="00EC3F68" w:rsidRPr="00717841" w:rsidRDefault="00EC3F68" w:rsidP="00FF1B25">
      <w:pPr>
        <w:spacing w:after="200" w:line="420" w:lineRule="atLeast"/>
        <w:jc w:val="center"/>
        <w:rPr>
          <w:rFonts w:ascii="華康正顏楷體 Std W5" w:eastAsia="華康正顏楷體 Std W5" w:hAnsi="華康正顏楷體 Std W5"/>
          <w:color w:val="000000" w:themeColor="text1"/>
          <w:spacing w:val="20"/>
          <w:sz w:val="44"/>
          <w:szCs w:val="44"/>
        </w:rPr>
      </w:pPr>
    </w:p>
    <w:p w:rsidR="002632DB" w:rsidRPr="00717841" w:rsidRDefault="002632DB" w:rsidP="00A5425C">
      <w:pPr>
        <w:snapToGrid w:val="0"/>
        <w:spacing w:line="240" w:lineRule="atLeast"/>
        <w:jc w:val="center"/>
        <w:rPr>
          <w:rFonts w:ascii="華康正顏楷體 Std W5" w:eastAsia="華康正顏楷體 Std W5" w:hAnsi="華康正顏楷體 Std W5"/>
          <w:color w:val="000000" w:themeColor="text1"/>
          <w:spacing w:val="20"/>
          <w:sz w:val="44"/>
          <w:szCs w:val="44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20"/>
          <w:sz w:val="44"/>
          <w:szCs w:val="44"/>
        </w:rPr>
        <w:lastRenderedPageBreak/>
        <w:t>財團法人李模務實法學基金會</w:t>
      </w:r>
    </w:p>
    <w:p w:rsidR="002632DB" w:rsidRPr="00717841" w:rsidRDefault="002632DB" w:rsidP="00A5425C">
      <w:pPr>
        <w:snapToGrid w:val="0"/>
        <w:spacing w:line="240" w:lineRule="atLeast"/>
        <w:ind w:left="505" w:hanging="505"/>
        <w:jc w:val="both"/>
        <w:rPr>
          <w:rFonts w:ascii="華康正顏楷體 Std W5" w:eastAsia="華康正顏楷體 Std W5" w:hAnsi="華康正顏楷體 Std W5"/>
          <w:color w:val="000000" w:themeColor="text1"/>
          <w:spacing w:val="10"/>
          <w:szCs w:val="24"/>
        </w:rPr>
      </w:pPr>
    </w:p>
    <w:p w:rsidR="002632DB" w:rsidRPr="00717841" w:rsidRDefault="002632DB" w:rsidP="00A5425C">
      <w:pPr>
        <w:snapToGrid w:val="0"/>
        <w:spacing w:line="240" w:lineRule="atLeast"/>
        <w:ind w:left="504" w:hanging="504"/>
        <w:jc w:val="center"/>
        <w:rPr>
          <w:rFonts w:ascii="華康正顏楷體 Std W5" w:eastAsia="華康正顏楷體 Std W5" w:hAnsi="華康正顏楷體 Std W5"/>
          <w:color w:val="000000" w:themeColor="text1"/>
          <w:spacing w:val="10"/>
          <w:sz w:val="30"/>
          <w:szCs w:val="30"/>
        </w:rPr>
      </w:pPr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 w:val="30"/>
          <w:szCs w:val="30"/>
        </w:rPr>
        <w:t>引</w:t>
      </w:r>
      <w:proofErr w:type="gramStart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 w:val="30"/>
          <w:szCs w:val="30"/>
        </w:rPr>
        <w:t>註</w:t>
      </w:r>
      <w:proofErr w:type="gramEnd"/>
      <w:r w:rsidRPr="00717841">
        <w:rPr>
          <w:rFonts w:ascii="華康正顏楷體 Std W5" w:eastAsia="華康正顏楷體 Std W5" w:hAnsi="華康正顏楷體 Std W5"/>
          <w:color w:val="000000" w:themeColor="text1"/>
          <w:spacing w:val="10"/>
          <w:sz w:val="30"/>
          <w:szCs w:val="30"/>
        </w:rPr>
        <w:t>格式</w:t>
      </w:r>
    </w:p>
    <w:p w:rsidR="002632DB" w:rsidRPr="00717841" w:rsidRDefault="002632DB" w:rsidP="00A5425C">
      <w:pPr>
        <w:snapToGrid w:val="0"/>
        <w:spacing w:line="240" w:lineRule="atLeast"/>
        <w:jc w:val="center"/>
        <w:rPr>
          <w:rFonts w:ascii="華康正顏楷體 Std W5" w:eastAsia="華康正顏楷體 Std W5" w:hAnsi="華康正顏楷體 Std W5"/>
          <w:color w:val="000000" w:themeColor="text1"/>
        </w:rPr>
      </w:pPr>
    </w:p>
    <w:p w:rsidR="00A5425C" w:rsidRPr="007231C2" w:rsidRDefault="00A5425C" w:rsidP="00A5425C">
      <w:pPr>
        <w:snapToGrid w:val="0"/>
        <w:spacing w:line="240" w:lineRule="atLeast"/>
        <w:jc w:val="center"/>
        <w:rPr>
          <w:rFonts w:ascii="標楷體" w:hAnsi="標楷體"/>
          <w:b/>
          <w:sz w:val="32"/>
          <w:szCs w:val="32"/>
        </w:rPr>
      </w:pPr>
      <w:r w:rsidRPr="007231C2">
        <w:rPr>
          <w:rFonts w:ascii="標楷體" w:hAnsi="標楷體"/>
          <w:b/>
          <w:sz w:val="32"/>
          <w:szCs w:val="32"/>
        </w:rPr>
        <w:t>東吳法律學報引</w:t>
      </w:r>
      <w:proofErr w:type="gramStart"/>
      <w:r w:rsidRPr="007231C2">
        <w:rPr>
          <w:rFonts w:ascii="標楷體" w:hAnsi="標楷體"/>
          <w:b/>
          <w:sz w:val="32"/>
          <w:szCs w:val="32"/>
        </w:rPr>
        <w:t>註</w:t>
      </w:r>
      <w:proofErr w:type="gramEnd"/>
      <w:r w:rsidRPr="007231C2">
        <w:rPr>
          <w:rFonts w:ascii="標楷體" w:hAnsi="標楷體"/>
          <w:b/>
          <w:sz w:val="32"/>
          <w:szCs w:val="32"/>
        </w:rPr>
        <w:t>及參考文獻格式</w:t>
      </w:r>
    </w:p>
    <w:p w:rsidR="00A5425C" w:rsidRPr="00AE695B" w:rsidRDefault="00A5425C" w:rsidP="00A5425C">
      <w:pPr>
        <w:rPr>
          <w:rFonts w:ascii="標楷體" w:hAnsi="標楷體"/>
          <w:b/>
        </w:rPr>
      </w:pPr>
    </w:p>
    <w:p w:rsidR="00B53DEA" w:rsidRPr="00AE695B" w:rsidRDefault="00B53DEA" w:rsidP="00B53DEA">
      <w:pPr>
        <w:rPr>
          <w:rFonts w:ascii="標楷體" w:hAnsi="標楷體"/>
          <w:b/>
        </w:rPr>
      </w:pPr>
      <w:r w:rsidRPr="00AE695B">
        <w:rPr>
          <w:rFonts w:ascii="標楷體" w:hAnsi="標楷體"/>
          <w:b/>
        </w:rPr>
        <w:t>一、引</w:t>
      </w:r>
      <w:proofErr w:type="gramStart"/>
      <w:r w:rsidRPr="00AE695B">
        <w:rPr>
          <w:rFonts w:ascii="標楷體" w:hAnsi="標楷體"/>
          <w:b/>
        </w:rPr>
        <w:t>註</w:t>
      </w:r>
      <w:proofErr w:type="gramEnd"/>
      <w:r w:rsidRPr="00AE695B">
        <w:rPr>
          <w:rFonts w:ascii="標楷體" w:hAnsi="標楷體" w:hint="eastAsia"/>
          <w:b/>
        </w:rPr>
        <w:t>文獻</w:t>
      </w:r>
      <w:r w:rsidRPr="00AE695B">
        <w:rPr>
          <w:rFonts w:ascii="標楷體" w:hAnsi="標楷體"/>
          <w:b/>
        </w:rPr>
        <w:t>格式</w:t>
      </w:r>
    </w:p>
    <w:p w:rsidR="00B53DEA" w:rsidRPr="00AE695B" w:rsidRDefault="00B53DEA" w:rsidP="00B53DEA">
      <w:pPr>
        <w:ind w:firstLineChars="100" w:firstLine="240"/>
        <w:rPr>
          <w:rFonts w:ascii="標楷體" w:hAnsi="標楷體"/>
          <w:b/>
        </w:rPr>
      </w:pPr>
      <w:r w:rsidRPr="00AE695B">
        <w:rPr>
          <w:rFonts w:ascii="標楷體" w:hAnsi="標楷體"/>
          <w:b/>
        </w:rPr>
        <w:t>（一）引</w:t>
      </w:r>
      <w:proofErr w:type="gramStart"/>
      <w:r w:rsidRPr="00AE695B">
        <w:rPr>
          <w:rFonts w:ascii="標楷體" w:hAnsi="標楷體"/>
          <w:b/>
        </w:rPr>
        <w:t>註</w:t>
      </w:r>
      <w:proofErr w:type="gramEnd"/>
      <w:r w:rsidRPr="00AE695B">
        <w:rPr>
          <w:rFonts w:ascii="標楷體" w:hAnsi="標楷體"/>
          <w:b/>
        </w:rPr>
        <w:t>基本格式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/>
        </w:rPr>
        <w:t xml:space="preserve">     </w:t>
      </w:r>
      <w:r w:rsidRPr="00AE695B">
        <w:rPr>
          <w:rFonts w:ascii="標楷體" w:hAnsi="標楷體"/>
          <w:b/>
        </w:rPr>
        <w:t>1.</w:t>
      </w:r>
      <w:r w:rsidRPr="00AE695B">
        <w:rPr>
          <w:rFonts w:ascii="標楷體" w:hAnsi="標楷體"/>
        </w:rPr>
        <w:t>本學報</w:t>
      </w:r>
      <w:proofErr w:type="gramStart"/>
      <w:r w:rsidRPr="00AE695B">
        <w:rPr>
          <w:rFonts w:ascii="標楷體" w:hAnsi="標楷體"/>
        </w:rPr>
        <w:t>採</w:t>
      </w:r>
      <w:proofErr w:type="gramEnd"/>
      <w:r w:rsidRPr="00AE695B">
        <w:rPr>
          <w:rFonts w:ascii="標楷體" w:hAnsi="標楷體"/>
        </w:rPr>
        <w:t>同頁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格式，並請使用阿拉伯數字將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釋連續編號。</w:t>
      </w:r>
    </w:p>
    <w:p w:rsidR="00B53DEA" w:rsidRPr="00AE695B" w:rsidRDefault="00B53DEA" w:rsidP="00B53DEA">
      <w:pPr>
        <w:tabs>
          <w:tab w:val="left" w:pos="2410"/>
        </w:tabs>
        <w:ind w:leftChars="250" w:left="840" w:hangingChars="100" w:hanging="240"/>
        <w:rPr>
          <w:rFonts w:ascii="標楷體" w:hAnsi="標楷體"/>
        </w:rPr>
      </w:pPr>
      <w:r w:rsidRPr="00AE695B">
        <w:rPr>
          <w:rFonts w:ascii="標楷體" w:hAnsi="標楷體"/>
          <w:b/>
        </w:rPr>
        <w:t>2.</w:t>
      </w:r>
      <w:r w:rsidRPr="00AE695B">
        <w:rPr>
          <w:rFonts w:ascii="標楷體" w:hAnsi="標楷體"/>
        </w:rPr>
        <w:t>所有引</w:t>
      </w:r>
      <w:proofErr w:type="gramStart"/>
      <w:r w:rsidRPr="00AE695B">
        <w:rPr>
          <w:rFonts w:ascii="標楷體" w:hAnsi="標楷體"/>
        </w:rPr>
        <w:t>註均須詳</w:t>
      </w:r>
      <w:proofErr w:type="gramEnd"/>
      <w:r w:rsidRPr="00AE695B">
        <w:rPr>
          <w:rFonts w:ascii="標楷體" w:hAnsi="標楷體"/>
        </w:rPr>
        <w:t>列出處；如引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係轉引自其他書籍或論文，則須另予註明，不得逕行轉錄。年代</w:t>
      </w:r>
      <w:proofErr w:type="gramStart"/>
      <w:r w:rsidRPr="00AE695B">
        <w:rPr>
          <w:rFonts w:ascii="標楷體" w:hAnsi="標楷體" w:hint="eastAsia"/>
        </w:rPr>
        <w:t>採</w:t>
      </w:r>
      <w:proofErr w:type="gramEnd"/>
      <w:r w:rsidRPr="00AE695B">
        <w:rPr>
          <w:rFonts w:ascii="標楷體" w:hAnsi="標楷體"/>
        </w:rPr>
        <w:t>西元</w:t>
      </w:r>
      <w:r w:rsidRPr="00AE695B">
        <w:rPr>
          <w:rFonts w:ascii="標楷體" w:hAnsi="標楷體" w:hint="eastAsia"/>
        </w:rPr>
        <w:t>紀年</w:t>
      </w:r>
      <w:r w:rsidRPr="00AE695B">
        <w:rPr>
          <w:rFonts w:ascii="標楷體" w:hAnsi="標楷體"/>
        </w:rPr>
        <w:t>。</w:t>
      </w:r>
    </w:p>
    <w:p w:rsidR="00B53DEA" w:rsidRPr="00AE695B" w:rsidRDefault="00B53DEA" w:rsidP="00B53DEA">
      <w:pPr>
        <w:ind w:leftChars="250" w:left="840" w:hangingChars="100" w:hanging="240"/>
        <w:rPr>
          <w:rFonts w:ascii="標楷體" w:hAnsi="標楷體"/>
        </w:rPr>
      </w:pPr>
      <w:r w:rsidRPr="00AE695B">
        <w:rPr>
          <w:rFonts w:ascii="標楷體" w:hAnsi="標楷體"/>
          <w:b/>
        </w:rPr>
        <w:t>3.</w:t>
      </w:r>
      <w:r w:rsidRPr="00AE695B">
        <w:rPr>
          <w:rFonts w:ascii="標楷體" w:hAnsi="標楷體"/>
        </w:rPr>
        <w:t>引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基本內容與順序：</w:t>
      </w:r>
    </w:p>
    <w:p w:rsidR="00B53DEA" w:rsidRPr="00AE695B" w:rsidRDefault="00B53DEA" w:rsidP="00B53DEA">
      <w:pPr>
        <w:ind w:leftChars="350" w:left="840"/>
        <w:rPr>
          <w:rFonts w:ascii="標楷體" w:hAnsi="標楷體"/>
        </w:rPr>
      </w:pPr>
      <w:r w:rsidRPr="00AE695B">
        <w:rPr>
          <w:rFonts w:ascii="標楷體" w:hAnsi="標楷體"/>
        </w:rPr>
        <w:t>作者，譯者，篇名，書名，</w:t>
      </w:r>
      <w:proofErr w:type="gramStart"/>
      <w:r w:rsidRPr="00AE695B">
        <w:rPr>
          <w:rFonts w:ascii="標楷體" w:hAnsi="標楷體"/>
        </w:rPr>
        <w:t>卷期數</w:t>
      </w:r>
      <w:proofErr w:type="gramEnd"/>
      <w:r w:rsidRPr="00AE695B">
        <w:rPr>
          <w:rFonts w:ascii="標楷體" w:hAnsi="標楷體"/>
        </w:rPr>
        <w:t>，版次，出版社，出版年份，引用頁碼；項目</w:t>
      </w:r>
      <w:proofErr w:type="gramStart"/>
      <w:r w:rsidRPr="00AE695B">
        <w:rPr>
          <w:rFonts w:ascii="標楷體" w:hAnsi="標楷體"/>
        </w:rPr>
        <w:t>彼此間須以逗號相隔</w:t>
      </w:r>
      <w:proofErr w:type="gramEnd"/>
      <w:r w:rsidRPr="00AE695B">
        <w:rPr>
          <w:rFonts w:ascii="標楷體" w:hAnsi="標楷體"/>
        </w:rPr>
        <w:t>，初版無須註明版次，</w:t>
      </w:r>
      <w:r w:rsidRPr="00AE695B">
        <w:rPr>
          <w:rFonts w:ascii="標楷體" w:hAnsi="標楷體"/>
        </w:rPr>
        <w:t>2</w:t>
      </w:r>
      <w:r w:rsidRPr="00AE695B">
        <w:rPr>
          <w:rFonts w:ascii="標楷體" w:hAnsi="標楷體"/>
        </w:rPr>
        <w:t>版以上方需註明，其他具體格式請詳見範例。</w:t>
      </w:r>
    </w:p>
    <w:p w:rsidR="00B53DEA" w:rsidRPr="00AE695B" w:rsidRDefault="00B53DEA" w:rsidP="00B53DEA">
      <w:pPr>
        <w:ind w:leftChars="250" w:left="840" w:hangingChars="100" w:hanging="240"/>
        <w:rPr>
          <w:rFonts w:ascii="標楷體" w:hAnsi="標楷體"/>
        </w:rPr>
      </w:pPr>
      <w:r w:rsidRPr="00AE695B">
        <w:rPr>
          <w:rFonts w:ascii="標楷體" w:hAnsi="標楷體"/>
          <w:b/>
        </w:rPr>
        <w:t>4.</w:t>
      </w:r>
      <w:r w:rsidRPr="00AE695B">
        <w:rPr>
          <w:rFonts w:ascii="標楷體" w:hAnsi="標楷體"/>
        </w:rPr>
        <w:t>關於「年份」、「頁數」、「</w:t>
      </w:r>
      <w:proofErr w:type="gramStart"/>
      <w:r w:rsidRPr="00AE695B">
        <w:rPr>
          <w:rFonts w:ascii="標楷體" w:hAnsi="標楷體"/>
        </w:rPr>
        <w:t>卷期數</w:t>
      </w:r>
      <w:proofErr w:type="gramEnd"/>
      <w:r w:rsidRPr="00AE695B">
        <w:rPr>
          <w:rFonts w:ascii="標楷體" w:hAnsi="標楷體"/>
        </w:rPr>
        <w:t>」及「法律</w:t>
      </w:r>
      <w:proofErr w:type="gramStart"/>
      <w:r w:rsidRPr="00AE695B">
        <w:rPr>
          <w:rFonts w:ascii="標楷體" w:hAnsi="標楷體"/>
        </w:rPr>
        <w:t>條文條號項次</w:t>
      </w:r>
      <w:proofErr w:type="gramEnd"/>
      <w:r w:rsidRPr="00AE695B">
        <w:rPr>
          <w:rFonts w:ascii="標楷體" w:hAnsi="標楷體"/>
        </w:rPr>
        <w:t>」</w:t>
      </w:r>
      <w:proofErr w:type="gramStart"/>
      <w:r w:rsidRPr="00AE695B">
        <w:rPr>
          <w:rFonts w:ascii="標楷體" w:hAnsi="標楷體"/>
        </w:rPr>
        <w:t>均以阿拉伯數字</w:t>
      </w:r>
      <w:proofErr w:type="gramEnd"/>
      <w:r w:rsidRPr="00AE695B">
        <w:rPr>
          <w:rFonts w:ascii="標楷體" w:hAnsi="標楷體"/>
        </w:rPr>
        <w:t>書寫。</w:t>
      </w:r>
    </w:p>
    <w:p w:rsidR="00B53DEA" w:rsidRPr="00AE695B" w:rsidRDefault="00B53DEA" w:rsidP="00B53DEA">
      <w:pPr>
        <w:ind w:leftChars="250" w:left="840" w:hangingChars="100" w:hanging="240"/>
        <w:rPr>
          <w:rFonts w:ascii="標楷體" w:hAnsi="標楷體"/>
        </w:rPr>
      </w:pPr>
      <w:r w:rsidRPr="00AE695B">
        <w:rPr>
          <w:rFonts w:ascii="標楷體" w:hAnsi="標楷體"/>
          <w:b/>
        </w:rPr>
        <w:t>5.</w:t>
      </w:r>
      <w:r w:rsidRPr="00AE695B">
        <w:rPr>
          <w:rFonts w:ascii="標楷體" w:hAnsi="標楷體"/>
        </w:rPr>
        <w:t>大法官解釋、法律條文、行政函釋、法院裁判及決議無需註明出處。</w:t>
      </w:r>
    </w:p>
    <w:p w:rsidR="00B53DEA" w:rsidRPr="00AE695B" w:rsidRDefault="00B53DEA" w:rsidP="00B53DEA">
      <w:pPr>
        <w:ind w:leftChars="250" w:left="840" w:hangingChars="100" w:hanging="240"/>
        <w:rPr>
          <w:rFonts w:ascii="標楷體" w:hAnsi="標楷體"/>
        </w:rPr>
      </w:pPr>
      <w:r w:rsidRPr="00AE695B">
        <w:rPr>
          <w:rFonts w:ascii="標楷體" w:hAnsi="標楷體"/>
          <w:b/>
        </w:rPr>
        <w:t>6.</w:t>
      </w:r>
      <w:r w:rsidRPr="00AE695B">
        <w:rPr>
          <w:rFonts w:ascii="標楷體" w:hAnsi="標楷體"/>
        </w:rPr>
        <w:t>後註解引用相同著作時，使用「作者，前揭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xx</w:t>
      </w:r>
      <w:r w:rsidRPr="00AE695B">
        <w:rPr>
          <w:rFonts w:ascii="標楷體" w:hAnsi="標楷體"/>
        </w:rPr>
        <w:t>，頁</w:t>
      </w:r>
      <w:r w:rsidRPr="00AE695B">
        <w:rPr>
          <w:rFonts w:ascii="標楷體" w:hAnsi="標楷體"/>
        </w:rPr>
        <w:t>xx-xx</w:t>
      </w:r>
      <w:r w:rsidRPr="00AE695B">
        <w:rPr>
          <w:rFonts w:ascii="標楷體" w:hAnsi="標楷體"/>
        </w:rPr>
        <w:t>，</w:t>
      </w:r>
      <w:r w:rsidRPr="00AE695B">
        <w:rPr>
          <w:rFonts w:ascii="標楷體" w:hAnsi="標楷體"/>
        </w:rPr>
        <w:t>…</w:t>
      </w:r>
      <w:r w:rsidRPr="00AE695B">
        <w:rPr>
          <w:rFonts w:ascii="標楷體" w:hAnsi="標楷體"/>
        </w:rPr>
        <w:t>」為引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方式即可。</w:t>
      </w:r>
    </w:p>
    <w:p w:rsidR="00B53DEA" w:rsidRPr="00AE695B" w:rsidRDefault="00B53DEA" w:rsidP="00B53DEA">
      <w:pPr>
        <w:ind w:leftChars="250" w:left="840" w:hangingChars="100" w:hanging="240"/>
        <w:rPr>
          <w:rFonts w:ascii="標楷體" w:hAnsi="標楷體"/>
        </w:rPr>
      </w:pPr>
      <w:r w:rsidRPr="00AE695B">
        <w:rPr>
          <w:rFonts w:ascii="標楷體" w:hAnsi="標楷體"/>
          <w:b/>
        </w:rPr>
        <w:t>7.</w:t>
      </w:r>
      <w:r w:rsidRPr="00AE695B">
        <w:rPr>
          <w:rFonts w:ascii="標楷體" w:hAnsi="標楷體"/>
        </w:rPr>
        <w:t>作者有兩人以上時，首次引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時，須將全部作者姓名列出；其後之引</w:t>
      </w:r>
      <w:proofErr w:type="gramStart"/>
      <w:r w:rsidRPr="00AE695B">
        <w:rPr>
          <w:rFonts w:ascii="標楷體" w:hAnsi="標楷體"/>
        </w:rPr>
        <w:t>註</w:t>
      </w:r>
      <w:proofErr w:type="gramEnd"/>
      <w:r w:rsidRPr="00AE695B">
        <w:rPr>
          <w:rFonts w:ascii="標楷體" w:hAnsi="標楷體"/>
        </w:rPr>
        <w:t>，則得僅列出排名最前之作者姓名，後加一「等」字。</w:t>
      </w:r>
    </w:p>
    <w:p w:rsidR="00B53DEA" w:rsidRPr="00AE695B" w:rsidRDefault="00B53DEA" w:rsidP="00B53DEA">
      <w:pPr>
        <w:ind w:firstLineChars="100" w:firstLine="240"/>
        <w:rPr>
          <w:rFonts w:ascii="標楷體" w:hAnsi="標楷體"/>
          <w:b/>
        </w:rPr>
      </w:pPr>
      <w:r w:rsidRPr="00AE695B">
        <w:rPr>
          <w:rFonts w:ascii="標楷體" w:hAnsi="標楷體"/>
          <w:b/>
        </w:rPr>
        <w:t>（二）具體引</w:t>
      </w:r>
      <w:proofErr w:type="gramStart"/>
      <w:r w:rsidRPr="00AE695B">
        <w:rPr>
          <w:rFonts w:ascii="標楷體" w:hAnsi="標楷體"/>
          <w:b/>
        </w:rPr>
        <w:t>註</w:t>
      </w:r>
      <w:proofErr w:type="gramEnd"/>
      <w:r w:rsidRPr="00AE695B">
        <w:rPr>
          <w:rFonts w:ascii="標楷體" w:hAnsi="標楷體"/>
          <w:b/>
        </w:rPr>
        <w:t>範例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/>
        </w:rPr>
        <w:t xml:space="preserve">     </w:t>
      </w:r>
      <w:r w:rsidRPr="00AE695B">
        <w:rPr>
          <w:rFonts w:ascii="標楷體" w:hAnsi="標楷體"/>
          <w:b/>
        </w:rPr>
        <w:t>1.</w:t>
      </w:r>
      <w:r w:rsidRPr="00AE695B">
        <w:rPr>
          <w:rFonts w:ascii="標楷體" w:hAnsi="標楷體"/>
        </w:rPr>
        <w:t>專書類</w:t>
      </w:r>
      <w:r w:rsidRPr="00AE695B">
        <w:rPr>
          <w:rFonts w:ascii="標楷體" w:hAnsi="標楷體" w:hint="eastAsia"/>
        </w:rPr>
        <w:t>：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/>
        </w:rPr>
        <w:t xml:space="preserve">      </w:t>
      </w: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基本順序：作者，書名，版次，出版社，出版年份，引用頁碼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/>
        </w:rPr>
        <w:t xml:space="preserve">      </w:t>
      </w: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具體範例：林東茂，刑法綜</w:t>
      </w:r>
      <w:proofErr w:type="gramStart"/>
      <w:r w:rsidRPr="00AE695B">
        <w:rPr>
          <w:rFonts w:ascii="標楷體" w:hAnsi="標楷體"/>
        </w:rPr>
        <w:t>覽</w:t>
      </w:r>
      <w:proofErr w:type="gramEnd"/>
      <w:r w:rsidRPr="00AE695B">
        <w:rPr>
          <w:rFonts w:ascii="標楷體" w:hAnsi="標楷體"/>
        </w:rPr>
        <w:t>，</w:t>
      </w:r>
      <w:r w:rsidRPr="00AE695B">
        <w:rPr>
          <w:rFonts w:ascii="標楷體" w:hAnsi="標楷體"/>
        </w:rPr>
        <w:t>6</w:t>
      </w:r>
      <w:r w:rsidRPr="00AE695B">
        <w:rPr>
          <w:rFonts w:ascii="標楷體" w:hAnsi="標楷體"/>
        </w:rPr>
        <w:t>版，一品，</w:t>
      </w:r>
      <w:r w:rsidRPr="00AE695B">
        <w:rPr>
          <w:rFonts w:ascii="標楷體" w:hAnsi="標楷體"/>
        </w:rPr>
        <w:t>2009</w:t>
      </w:r>
      <w:r w:rsidRPr="00AE695B">
        <w:rPr>
          <w:rFonts w:ascii="標楷體" w:hAnsi="標楷體"/>
        </w:rPr>
        <w:t>年，頁</w:t>
      </w:r>
      <w:r w:rsidRPr="00AE695B">
        <w:rPr>
          <w:rFonts w:ascii="標楷體" w:hAnsi="標楷體"/>
        </w:rPr>
        <w:t>xx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firstLineChars="250" w:firstLine="601"/>
        <w:rPr>
          <w:rFonts w:ascii="標楷體" w:hAnsi="標楷體"/>
        </w:rPr>
      </w:pPr>
      <w:r w:rsidRPr="00AE695B">
        <w:rPr>
          <w:rFonts w:ascii="標楷體" w:hAnsi="標楷體"/>
          <w:b/>
        </w:rPr>
        <w:t>2.</w:t>
      </w:r>
      <w:r w:rsidRPr="00AE695B">
        <w:rPr>
          <w:rFonts w:ascii="標楷體" w:hAnsi="標楷體"/>
        </w:rPr>
        <w:t>專書</w:t>
      </w:r>
      <w:r w:rsidRPr="00AE695B">
        <w:rPr>
          <w:rFonts w:ascii="標楷體" w:hAnsi="標楷體" w:hint="eastAsia"/>
        </w:rPr>
        <w:t>論文</w:t>
      </w:r>
      <w:r w:rsidRPr="00AE695B">
        <w:rPr>
          <w:rFonts w:ascii="標楷體" w:hAnsi="標楷體"/>
        </w:rPr>
        <w:t>類</w:t>
      </w:r>
      <w:r w:rsidRPr="00AE695B">
        <w:rPr>
          <w:rFonts w:ascii="標楷體" w:hAnsi="標楷體" w:hint="eastAsia"/>
        </w:rPr>
        <w:t>：</w:t>
      </w:r>
    </w:p>
    <w:p w:rsidR="00B53DEA" w:rsidRPr="00AE695B" w:rsidRDefault="00B53DEA" w:rsidP="00B53DEA">
      <w:pPr>
        <w:ind w:leftChars="300" w:left="2522" w:hangingChars="750" w:hanging="180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基本順序：作者，篇名，收錄書名，出版社，出版年份，引用頁碼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leftChars="300" w:left="2522" w:hangingChars="750" w:hanging="180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具體範例：林誠二，論旅遊契約之法律關係，民法七十年之回顧與展望紀念論文集（一），元照，</w:t>
      </w:r>
      <w:r w:rsidRPr="00AE695B">
        <w:rPr>
          <w:rFonts w:ascii="標楷體" w:hAnsi="標楷體"/>
        </w:rPr>
        <w:t>2000</w:t>
      </w:r>
      <w:r w:rsidRPr="00AE695B">
        <w:rPr>
          <w:rFonts w:ascii="標楷體" w:hAnsi="標楷體"/>
        </w:rPr>
        <w:t>年，頁</w:t>
      </w:r>
      <w:r w:rsidRPr="00AE695B">
        <w:rPr>
          <w:rFonts w:ascii="標楷體" w:hAnsi="標楷體"/>
        </w:rPr>
        <w:t>xx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firstLineChars="250" w:firstLine="601"/>
        <w:rPr>
          <w:rFonts w:ascii="標楷體" w:hAnsi="標楷體"/>
        </w:rPr>
      </w:pPr>
      <w:r w:rsidRPr="00AE695B">
        <w:rPr>
          <w:rFonts w:ascii="標楷體" w:hAnsi="標楷體"/>
          <w:b/>
        </w:rPr>
        <w:t>3.</w:t>
      </w:r>
      <w:r w:rsidRPr="00AE695B">
        <w:rPr>
          <w:rFonts w:ascii="標楷體" w:hAnsi="標楷體"/>
        </w:rPr>
        <w:t>期刊</w:t>
      </w:r>
      <w:r w:rsidRPr="00AE695B">
        <w:rPr>
          <w:rFonts w:ascii="標楷體" w:hAnsi="標楷體" w:hint="eastAsia"/>
        </w:rPr>
        <w:t>論文</w:t>
      </w:r>
      <w:r w:rsidRPr="00AE695B">
        <w:rPr>
          <w:rFonts w:ascii="標楷體" w:hAnsi="標楷體"/>
        </w:rPr>
        <w:t>類</w:t>
      </w:r>
      <w:r w:rsidRPr="00AE695B">
        <w:rPr>
          <w:rFonts w:ascii="標楷體" w:hAnsi="標楷體" w:hint="eastAsia"/>
        </w:rPr>
        <w:t>：</w:t>
      </w:r>
    </w:p>
    <w:p w:rsidR="00B53DEA" w:rsidRPr="00AE695B" w:rsidRDefault="00B53DEA" w:rsidP="00B53DEA">
      <w:pPr>
        <w:ind w:leftChars="300" w:left="2522" w:hangingChars="750" w:hanging="180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基本順序：作者，篇名，收錄期刊名，</w:t>
      </w:r>
      <w:proofErr w:type="gramStart"/>
      <w:r w:rsidRPr="00AE695B">
        <w:rPr>
          <w:rFonts w:ascii="標楷體" w:hAnsi="標楷體"/>
        </w:rPr>
        <w:t>卷期</w:t>
      </w:r>
      <w:proofErr w:type="gramEnd"/>
      <w:r w:rsidRPr="00AE695B">
        <w:rPr>
          <w:rFonts w:ascii="標楷體" w:hAnsi="標楷體"/>
        </w:rPr>
        <w:t>，出版年份，引用頁碼</w:t>
      </w:r>
      <w:r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leftChars="300" w:left="2522" w:hangingChars="750" w:hanging="180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具體範例：林三欽，行政裁罰案件「故意過失」舉證責任之探討</w:t>
      </w:r>
      <w:r w:rsidRPr="00AE695B">
        <w:rPr>
          <w:rFonts w:ascii="標楷體" w:hAnsi="標楷體"/>
        </w:rPr>
        <w:t>--</w:t>
      </w:r>
      <w:r w:rsidRPr="00AE695B">
        <w:rPr>
          <w:rFonts w:ascii="標楷體" w:hAnsi="標楷體"/>
        </w:rPr>
        <w:t>以行政裁罰程序為中心，台灣法學雜誌，</w:t>
      </w:r>
      <w:r w:rsidRPr="00AE695B">
        <w:rPr>
          <w:rFonts w:ascii="標楷體" w:hAnsi="標楷體"/>
        </w:rPr>
        <w:t>138</w:t>
      </w:r>
      <w:r w:rsidRPr="00AE695B">
        <w:rPr>
          <w:rFonts w:ascii="標楷體" w:hAnsi="標楷體"/>
        </w:rPr>
        <w:t>期，</w:t>
      </w:r>
      <w:r w:rsidRPr="00AE695B">
        <w:rPr>
          <w:rFonts w:ascii="標楷體" w:hAnsi="標楷體"/>
        </w:rPr>
        <w:t>2009</w:t>
      </w:r>
      <w:r w:rsidRPr="00AE695B">
        <w:rPr>
          <w:rFonts w:ascii="標楷體" w:hAnsi="標楷體"/>
        </w:rPr>
        <w:t>年，頁</w:t>
      </w:r>
      <w:r w:rsidRPr="00AE695B">
        <w:rPr>
          <w:rFonts w:ascii="標楷體" w:hAnsi="標楷體"/>
        </w:rPr>
        <w:t>xx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tabs>
          <w:tab w:val="left" w:pos="2268"/>
          <w:tab w:val="left" w:pos="2552"/>
        </w:tabs>
        <w:ind w:firstLineChars="250" w:firstLine="601"/>
        <w:rPr>
          <w:rFonts w:ascii="標楷體" w:hAnsi="標楷體"/>
        </w:rPr>
      </w:pPr>
      <w:r w:rsidRPr="00AE695B">
        <w:rPr>
          <w:rFonts w:ascii="標楷體" w:hAnsi="標楷體"/>
          <w:b/>
        </w:rPr>
        <w:t>4.</w:t>
      </w:r>
      <w:r w:rsidRPr="00AE695B">
        <w:rPr>
          <w:rFonts w:ascii="標楷體" w:hAnsi="標楷體"/>
        </w:rPr>
        <w:t>學位論文類：</w:t>
      </w:r>
    </w:p>
    <w:p w:rsidR="00B53DEA" w:rsidRPr="00AE695B" w:rsidRDefault="00B53DEA" w:rsidP="00B53DEA">
      <w:pPr>
        <w:ind w:leftChars="250" w:left="2520" w:hangingChars="800" w:hanging="1920"/>
        <w:rPr>
          <w:rFonts w:ascii="標楷體" w:hAnsi="標楷體"/>
        </w:rPr>
      </w:pPr>
      <w:r w:rsidRPr="00AE695B">
        <w:rPr>
          <w:rFonts w:ascii="標楷體" w:hAnsi="標楷體"/>
        </w:rPr>
        <w:t xml:space="preserve"> </w:t>
      </w: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基本順序：作者，論文名，論文出處單位全稱（包括校及院</w:t>
      </w:r>
      <w:r w:rsidRPr="00AE695B">
        <w:rPr>
          <w:rFonts w:ascii="標楷體" w:hAnsi="標楷體"/>
        </w:rPr>
        <w:t>/</w:t>
      </w:r>
      <w:r w:rsidRPr="00AE695B">
        <w:rPr>
          <w:rFonts w:ascii="標楷體" w:hAnsi="標楷體"/>
        </w:rPr>
        <w:t>系名稱），出版年份，引用頁碼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leftChars="250" w:left="2520" w:hangingChars="800" w:hanging="1920"/>
        <w:rPr>
          <w:rFonts w:ascii="標楷體" w:hAnsi="標楷體"/>
        </w:rPr>
      </w:pPr>
      <w:r w:rsidRPr="00AE695B">
        <w:rPr>
          <w:rFonts w:ascii="標楷體" w:hAnsi="標楷體"/>
        </w:rPr>
        <w:t xml:space="preserve"> </w:t>
      </w: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具體範例：程明修，論對已終結行政處分之</w:t>
      </w:r>
      <w:proofErr w:type="gramStart"/>
      <w:r w:rsidRPr="00AE695B">
        <w:rPr>
          <w:rFonts w:ascii="標楷體" w:hAnsi="標楷體"/>
        </w:rPr>
        <w:t>行政訴訟－兼論</w:t>
      </w:r>
      <w:proofErr w:type="gramEnd"/>
      <w:r w:rsidRPr="00AE695B">
        <w:rPr>
          <w:rFonts w:ascii="標楷體" w:hAnsi="標楷體"/>
        </w:rPr>
        <w:t>其違法性判斷作為國家賠償訴訟之先決問題訴訟，國立中興大學法律學研究所碩士論文，</w:t>
      </w:r>
      <w:r w:rsidRPr="00AE695B">
        <w:rPr>
          <w:rFonts w:ascii="標楷體" w:hAnsi="標楷體"/>
        </w:rPr>
        <w:t>1994</w:t>
      </w:r>
      <w:r w:rsidRPr="00AE695B">
        <w:rPr>
          <w:rFonts w:ascii="標楷體" w:hAnsi="標楷體"/>
        </w:rPr>
        <w:t>年，頁</w:t>
      </w:r>
      <w:r w:rsidRPr="00AE695B">
        <w:rPr>
          <w:rFonts w:ascii="標楷體" w:hAnsi="標楷體"/>
        </w:rPr>
        <w:t>xx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firstLineChars="250" w:firstLine="601"/>
        <w:rPr>
          <w:rFonts w:ascii="標楷體" w:hAnsi="標楷體"/>
        </w:rPr>
      </w:pPr>
      <w:r w:rsidRPr="00AE695B">
        <w:rPr>
          <w:rFonts w:ascii="標楷體" w:hAnsi="標楷體"/>
          <w:b/>
        </w:rPr>
        <w:t>5.</w:t>
      </w:r>
      <w:r w:rsidRPr="00AE695B">
        <w:rPr>
          <w:rFonts w:ascii="標楷體" w:hAnsi="標楷體"/>
        </w:rPr>
        <w:t>翻譯專書類：</w:t>
      </w:r>
    </w:p>
    <w:p w:rsidR="00B53DEA" w:rsidRPr="00AE695B" w:rsidRDefault="00B53DEA" w:rsidP="00B53DEA">
      <w:pPr>
        <w:ind w:leftChars="300" w:left="2522" w:hangingChars="750" w:hanging="180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基本順序：作者，譯者，書名，版次，出版社，出版年份，引用頁碼</w:t>
      </w:r>
      <w:r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leftChars="300" w:left="2522" w:hangingChars="750" w:hanging="180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具體範例：</w:t>
      </w:r>
      <w:proofErr w:type="gramStart"/>
      <w:r w:rsidRPr="00615CB5">
        <w:rPr>
          <w:rFonts w:ascii="標楷體" w:hAnsi="標楷體"/>
        </w:rPr>
        <w:t xml:space="preserve">Ingeborg </w:t>
      </w:r>
      <w:proofErr w:type="spellStart"/>
      <w:r w:rsidRPr="00615CB5">
        <w:rPr>
          <w:rFonts w:ascii="標楷體" w:hAnsi="標楷體"/>
        </w:rPr>
        <w:t>Puppe</w:t>
      </w:r>
      <w:proofErr w:type="spellEnd"/>
      <w:r w:rsidRPr="00AE695B">
        <w:rPr>
          <w:rFonts w:ascii="標楷體" w:hAnsi="標楷體" w:hint="eastAsia"/>
        </w:rPr>
        <w:t>著</w:t>
      </w:r>
      <w:proofErr w:type="gramEnd"/>
      <w:r w:rsidRPr="00AE695B">
        <w:rPr>
          <w:rFonts w:ascii="標楷體" w:hAnsi="標楷體"/>
        </w:rPr>
        <w:t>，蔡聖偉</w:t>
      </w:r>
      <w:r w:rsidRPr="00AE695B">
        <w:rPr>
          <w:rFonts w:ascii="標楷體" w:hAnsi="標楷體" w:hint="eastAsia"/>
        </w:rPr>
        <w:t>譯</w:t>
      </w:r>
      <w:r w:rsidRPr="00AE695B">
        <w:rPr>
          <w:rFonts w:ascii="標楷體" w:hAnsi="標楷體"/>
        </w:rPr>
        <w:t>，</w:t>
      </w:r>
      <w:r w:rsidRPr="00AE695B">
        <w:rPr>
          <w:rStyle w:val="ab"/>
          <w:rFonts w:ascii="標楷體" w:hAnsi="標楷體"/>
          <w:b w:val="0"/>
        </w:rPr>
        <w:t>法學思維小學堂－法學方法論密集班，元照，</w:t>
      </w:r>
      <w:r w:rsidRPr="00AE695B">
        <w:rPr>
          <w:rStyle w:val="ab"/>
          <w:rFonts w:ascii="標楷體" w:hAnsi="標楷體"/>
          <w:b w:val="0"/>
        </w:rPr>
        <w:t>2010</w:t>
      </w:r>
      <w:r w:rsidRPr="00AE695B">
        <w:rPr>
          <w:rStyle w:val="ab"/>
          <w:rFonts w:ascii="標楷體" w:hAnsi="標楷體"/>
          <w:b w:val="0"/>
        </w:rPr>
        <w:t>年，頁</w:t>
      </w:r>
      <w:r w:rsidRPr="00AE695B">
        <w:rPr>
          <w:rStyle w:val="ab"/>
          <w:rFonts w:ascii="標楷體" w:hAnsi="標楷體"/>
          <w:b w:val="0"/>
        </w:rPr>
        <w:t>xx</w:t>
      </w:r>
      <w:r w:rsidRPr="00AE695B">
        <w:rPr>
          <w:rStyle w:val="ab"/>
          <w:rFonts w:ascii="標楷體" w:hAnsi="標楷體" w:hint="eastAsia"/>
          <w:b w:val="0"/>
        </w:rPr>
        <w:t>。</w:t>
      </w:r>
    </w:p>
    <w:p w:rsidR="00B53DEA" w:rsidRPr="00AE695B" w:rsidRDefault="00B53DEA" w:rsidP="00B53DEA">
      <w:pPr>
        <w:ind w:firstLineChars="250" w:firstLine="601"/>
        <w:rPr>
          <w:rFonts w:ascii="標楷體" w:hAnsi="標楷體"/>
        </w:rPr>
      </w:pPr>
      <w:r w:rsidRPr="00AE695B">
        <w:rPr>
          <w:rFonts w:ascii="標楷體" w:hAnsi="標楷體"/>
          <w:b/>
        </w:rPr>
        <w:t>6.</w:t>
      </w:r>
      <w:r w:rsidRPr="00AE695B">
        <w:rPr>
          <w:rFonts w:ascii="標楷體" w:hAnsi="標楷體"/>
        </w:rPr>
        <w:t>翻譯</w:t>
      </w:r>
      <w:r w:rsidRPr="00AE695B">
        <w:rPr>
          <w:rFonts w:ascii="標楷體" w:hAnsi="標楷體" w:hint="eastAsia"/>
        </w:rPr>
        <w:t>論文</w:t>
      </w:r>
      <w:r w:rsidRPr="00AE695B">
        <w:rPr>
          <w:rFonts w:ascii="標楷體" w:hAnsi="標楷體"/>
        </w:rPr>
        <w:t>類：</w:t>
      </w:r>
    </w:p>
    <w:p w:rsidR="00B53DEA" w:rsidRPr="00AE695B" w:rsidRDefault="00B53DEA" w:rsidP="00B53DEA">
      <w:pPr>
        <w:ind w:leftChars="250" w:left="2520" w:hangingChars="800" w:hanging="1920"/>
        <w:rPr>
          <w:rFonts w:ascii="標楷體" w:hAnsi="標楷體"/>
        </w:rPr>
      </w:pPr>
      <w:r w:rsidRPr="00AE695B">
        <w:rPr>
          <w:rFonts w:ascii="標楷體" w:hAnsi="標楷體"/>
        </w:rPr>
        <w:t xml:space="preserve"> </w:t>
      </w: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基本順序：作者，譯者，篇名，收錄書名</w:t>
      </w:r>
      <w:r w:rsidRPr="00AE695B">
        <w:rPr>
          <w:rFonts w:ascii="標楷體" w:hAnsi="標楷體"/>
          <w:b/>
        </w:rPr>
        <w:t>/</w:t>
      </w:r>
      <w:r w:rsidRPr="00AE695B">
        <w:rPr>
          <w:rFonts w:ascii="標楷體" w:hAnsi="標楷體"/>
        </w:rPr>
        <w:t>期刊名，</w:t>
      </w:r>
      <w:proofErr w:type="gramStart"/>
      <w:r w:rsidRPr="00AE695B">
        <w:rPr>
          <w:rFonts w:ascii="標楷體" w:hAnsi="標楷體"/>
        </w:rPr>
        <w:t>卷期</w:t>
      </w:r>
      <w:proofErr w:type="gramEnd"/>
      <w:r w:rsidRPr="00AE695B">
        <w:rPr>
          <w:rFonts w:ascii="標楷體" w:hAnsi="標楷體"/>
        </w:rPr>
        <w:t>，出版年份，引用頁碼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tabs>
          <w:tab w:val="left" w:pos="2694"/>
        </w:tabs>
        <w:ind w:leftChars="300" w:left="2462" w:hangingChars="725" w:hanging="174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具體範例：</w:t>
      </w:r>
      <w:proofErr w:type="gramStart"/>
      <w:r w:rsidRPr="00AE695B">
        <w:rPr>
          <w:rFonts w:ascii="標楷體" w:hAnsi="標楷體"/>
        </w:rPr>
        <w:t xml:space="preserve">Miguel </w:t>
      </w:r>
      <w:proofErr w:type="spellStart"/>
      <w:r w:rsidRPr="00AE695B">
        <w:rPr>
          <w:rFonts w:ascii="標楷體" w:hAnsi="標楷體"/>
        </w:rPr>
        <w:t>Polaino</w:t>
      </w:r>
      <w:proofErr w:type="spellEnd"/>
      <w:r w:rsidRPr="00AE695B">
        <w:rPr>
          <w:rFonts w:ascii="標楷體" w:hAnsi="標楷體"/>
        </w:rPr>
        <w:t>-Orts</w:t>
      </w:r>
      <w:r w:rsidRPr="00AE695B">
        <w:rPr>
          <w:rFonts w:ascii="標楷體" w:hAnsi="標楷體" w:hint="eastAsia"/>
        </w:rPr>
        <w:t>著</w:t>
      </w:r>
      <w:proofErr w:type="gramEnd"/>
      <w:r w:rsidRPr="00AE695B">
        <w:rPr>
          <w:rFonts w:ascii="標楷體" w:hAnsi="標楷體"/>
        </w:rPr>
        <w:t>，徐育安</w:t>
      </w:r>
      <w:r w:rsidRPr="00AE695B">
        <w:rPr>
          <w:rFonts w:ascii="標楷體" w:hAnsi="標楷體" w:hint="eastAsia"/>
        </w:rPr>
        <w:t>譯，</w:t>
      </w:r>
      <w:r w:rsidRPr="00AE695B">
        <w:rPr>
          <w:rFonts w:ascii="標楷體" w:hAnsi="標楷體"/>
        </w:rPr>
        <w:t>以功能破除概念迷思：敵人刑法，法學新論，</w:t>
      </w:r>
      <w:r w:rsidRPr="00AE695B">
        <w:rPr>
          <w:rFonts w:ascii="標楷體" w:hAnsi="標楷體"/>
        </w:rPr>
        <w:t>22</w:t>
      </w:r>
      <w:r w:rsidRPr="00AE695B">
        <w:rPr>
          <w:rFonts w:ascii="標楷體" w:hAnsi="標楷體"/>
        </w:rPr>
        <w:t>期，</w:t>
      </w:r>
      <w:r w:rsidRPr="00AE695B">
        <w:rPr>
          <w:rFonts w:ascii="標楷體" w:hAnsi="標楷體"/>
        </w:rPr>
        <w:t>2010</w:t>
      </w:r>
      <w:r w:rsidRPr="00AE695B">
        <w:rPr>
          <w:rFonts w:ascii="標楷體" w:hAnsi="標楷體"/>
        </w:rPr>
        <w:t>年，頁</w:t>
      </w:r>
      <w:r w:rsidRPr="00AE695B">
        <w:rPr>
          <w:rFonts w:ascii="標楷體" w:hAnsi="標楷體"/>
        </w:rPr>
        <w:t>xx</w:t>
      </w:r>
      <w:r w:rsidRPr="00AE695B">
        <w:rPr>
          <w:rFonts w:ascii="標楷體" w:hAnsi="標楷體" w:hint="eastAsia"/>
        </w:rPr>
        <w:t>。</w:t>
      </w:r>
    </w:p>
    <w:p w:rsidR="00B53DEA" w:rsidRPr="00AE695B" w:rsidRDefault="00B53DEA" w:rsidP="00B53DEA">
      <w:pPr>
        <w:ind w:firstLineChars="250" w:firstLine="60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lastRenderedPageBreak/>
        <w:t>7.</w:t>
      </w:r>
      <w:r w:rsidRPr="00AE695B">
        <w:rPr>
          <w:rFonts w:ascii="標楷體" w:hAnsi="標楷體" w:hint="eastAsia"/>
        </w:rPr>
        <w:t>政府資料類：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1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/>
        </w:rPr>
        <w:t>大法官解釋：大法官釋字</w:t>
      </w:r>
      <w:r w:rsidRPr="00AE695B">
        <w:rPr>
          <w:rFonts w:ascii="標楷體" w:hAnsi="標楷體"/>
        </w:rPr>
        <w:t>580</w:t>
      </w:r>
      <w:r w:rsidRPr="00AE695B">
        <w:rPr>
          <w:rFonts w:ascii="標楷體" w:hAnsi="標楷體"/>
        </w:rPr>
        <w:t>號。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2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 w:hint="eastAsia"/>
        </w:rPr>
        <w:t>法律條文：總統府組織法第</w:t>
      </w:r>
      <w:r w:rsidRPr="00AE695B">
        <w:rPr>
          <w:rFonts w:ascii="標楷體" w:hAnsi="標楷體" w:hint="eastAsia"/>
        </w:rPr>
        <w:t>4</w:t>
      </w:r>
      <w:r w:rsidRPr="00AE695B">
        <w:rPr>
          <w:rFonts w:ascii="標楷體" w:hAnsi="標楷體" w:hint="eastAsia"/>
        </w:rPr>
        <w:t>條第</w:t>
      </w:r>
      <w:r w:rsidRPr="00AE695B">
        <w:rPr>
          <w:rFonts w:ascii="標楷體" w:hAnsi="標楷體" w:hint="eastAsia"/>
        </w:rPr>
        <w:t>1</w:t>
      </w:r>
      <w:r w:rsidRPr="00AE695B">
        <w:rPr>
          <w:rFonts w:ascii="標楷體" w:hAnsi="標楷體" w:hint="eastAsia"/>
        </w:rPr>
        <w:t>款。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3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/>
        </w:rPr>
        <w:t>行政函示：行政院</w:t>
      </w:r>
      <w:r w:rsidRPr="00AE695B">
        <w:rPr>
          <w:rFonts w:ascii="標楷體" w:hAnsi="標楷體"/>
        </w:rPr>
        <w:t>(95)</w:t>
      </w:r>
      <w:r w:rsidRPr="00AE695B">
        <w:rPr>
          <w:rFonts w:ascii="標楷體" w:hAnsi="標楷體"/>
        </w:rPr>
        <w:t>年保局二字第</w:t>
      </w:r>
      <w:r w:rsidRPr="00AE695B">
        <w:rPr>
          <w:rFonts w:ascii="標楷體" w:hAnsi="標楷體"/>
        </w:rPr>
        <w:t>09502522270</w:t>
      </w:r>
      <w:r w:rsidRPr="00AE695B">
        <w:rPr>
          <w:rFonts w:ascii="標楷體" w:hAnsi="標楷體"/>
        </w:rPr>
        <w:t>號函。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4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/>
        </w:rPr>
        <w:t>法院判決：</w:t>
      </w:r>
      <w:proofErr w:type="gramStart"/>
      <w:r w:rsidRPr="00AE695B">
        <w:rPr>
          <w:rFonts w:ascii="標楷體" w:hAnsi="標楷體"/>
        </w:rPr>
        <w:t>臺</w:t>
      </w:r>
      <w:proofErr w:type="gramEnd"/>
      <w:r w:rsidRPr="00AE695B">
        <w:rPr>
          <w:rFonts w:ascii="標楷體" w:hAnsi="標楷體"/>
        </w:rPr>
        <w:t>北高等行政法院</w:t>
      </w:r>
      <w:proofErr w:type="gramStart"/>
      <w:r w:rsidRPr="00AE695B">
        <w:rPr>
          <w:rFonts w:ascii="標楷體" w:hAnsi="標楷體"/>
        </w:rPr>
        <w:t>94</w:t>
      </w:r>
      <w:r w:rsidRPr="00AE695B">
        <w:rPr>
          <w:rFonts w:ascii="標楷體" w:hAnsi="標楷體"/>
        </w:rPr>
        <w:t>年訴字第</w:t>
      </w:r>
      <w:r w:rsidRPr="00AE695B">
        <w:rPr>
          <w:rFonts w:ascii="標楷體" w:hAnsi="標楷體"/>
        </w:rPr>
        <w:t>582</w:t>
      </w:r>
      <w:r w:rsidRPr="00AE695B">
        <w:rPr>
          <w:rFonts w:ascii="標楷體" w:hAnsi="標楷體"/>
        </w:rPr>
        <w:t>號</w:t>
      </w:r>
      <w:proofErr w:type="gramEnd"/>
      <w:r w:rsidRPr="00AE695B">
        <w:rPr>
          <w:rFonts w:ascii="標楷體" w:hAnsi="標楷體"/>
        </w:rPr>
        <w:t>。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5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/>
        </w:rPr>
        <w:t>法院決議：最高法院</w:t>
      </w:r>
      <w:r w:rsidRPr="00AE695B">
        <w:rPr>
          <w:rFonts w:ascii="標楷體" w:hAnsi="標楷體"/>
        </w:rPr>
        <w:t>95</w:t>
      </w:r>
      <w:r w:rsidRPr="00AE695B">
        <w:rPr>
          <w:rFonts w:ascii="標楷體" w:hAnsi="標楷體"/>
        </w:rPr>
        <w:t>年度第</w:t>
      </w:r>
      <w:r w:rsidRPr="00AE695B">
        <w:rPr>
          <w:rFonts w:ascii="標楷體" w:hAnsi="標楷體"/>
        </w:rPr>
        <w:t>3</w:t>
      </w:r>
      <w:r w:rsidRPr="00AE695B">
        <w:rPr>
          <w:rFonts w:ascii="標楷體" w:hAnsi="標楷體"/>
        </w:rPr>
        <w:t>次民事庭會議決議。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 w:hint="eastAsia"/>
        </w:rPr>
        <w:t xml:space="preserve">     </w:t>
      </w:r>
      <w:r w:rsidRPr="00AE695B">
        <w:rPr>
          <w:rFonts w:ascii="標楷體" w:hAnsi="標楷體" w:hint="eastAsia"/>
          <w:b/>
        </w:rPr>
        <w:t>8.</w:t>
      </w:r>
      <w:r w:rsidRPr="00AE695B">
        <w:rPr>
          <w:rFonts w:ascii="標楷體" w:hAnsi="標楷體" w:hint="eastAsia"/>
        </w:rPr>
        <w:t>報紙、網路類：</w:t>
      </w:r>
    </w:p>
    <w:p w:rsidR="00B53DEA" w:rsidRPr="00AE695B" w:rsidRDefault="00B53DEA" w:rsidP="00B53DEA">
      <w:pPr>
        <w:ind w:left="2640" w:hangingChars="1100" w:hanging="2640"/>
        <w:rPr>
          <w:rFonts w:ascii="標楷體" w:hAnsi="標楷體"/>
        </w:rPr>
      </w:pPr>
      <w:r w:rsidRPr="00AE695B">
        <w:rPr>
          <w:rFonts w:ascii="標楷體" w:hAnsi="標楷體"/>
        </w:rPr>
        <w:t xml:space="preserve">      </w:t>
      </w: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1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報紙資料：聯合報，跪地大吼</w:t>
      </w:r>
      <w:r w:rsidRPr="00AE695B">
        <w:rPr>
          <w:rFonts w:ascii="標楷體" w:hAnsi="標楷體"/>
        </w:rPr>
        <w:t xml:space="preserve"> </w:t>
      </w:r>
      <w:r w:rsidRPr="00AE695B">
        <w:rPr>
          <w:rFonts w:ascii="標楷體" w:hAnsi="標楷體"/>
        </w:rPr>
        <w:t>張已請病假</w:t>
      </w:r>
      <w:r w:rsidRPr="00AE695B">
        <w:rPr>
          <w:rFonts w:ascii="標楷體" w:hAnsi="標楷體"/>
        </w:rPr>
        <w:t xml:space="preserve"> </w:t>
      </w:r>
      <w:r w:rsidRPr="00AE695B">
        <w:rPr>
          <w:rFonts w:ascii="標楷體" w:hAnsi="標楷體"/>
        </w:rPr>
        <w:t>暫停公訴職務，</w:t>
      </w:r>
      <w:r w:rsidRPr="00AE695B">
        <w:rPr>
          <w:rFonts w:ascii="標楷體" w:hAnsi="標楷體"/>
        </w:rPr>
        <w:t>A4</w:t>
      </w:r>
      <w:r w:rsidRPr="00AE695B">
        <w:rPr>
          <w:rFonts w:ascii="標楷體" w:hAnsi="標楷體"/>
        </w:rPr>
        <w:t>版，</w:t>
      </w:r>
      <w:r w:rsidRPr="00AE695B">
        <w:rPr>
          <w:rFonts w:ascii="標楷體" w:hAnsi="標楷體"/>
        </w:rPr>
        <w:t>2006/12/28</w:t>
      </w:r>
    </w:p>
    <w:p w:rsidR="00B53DEA" w:rsidRPr="00AE695B" w:rsidRDefault="00B53DEA" w:rsidP="00B53DEA">
      <w:pPr>
        <w:ind w:leftChars="300" w:left="2762" w:hangingChars="850" w:hanging="2042"/>
        <w:rPr>
          <w:rFonts w:ascii="標楷體" w:hAnsi="標楷體"/>
        </w:rPr>
      </w:pPr>
      <w:r w:rsidRPr="00AE695B">
        <w:rPr>
          <w:rFonts w:ascii="標楷體" w:hAnsi="標楷體"/>
          <w:b/>
        </w:rPr>
        <w:t>（</w:t>
      </w:r>
      <w:r w:rsidRPr="00AE695B">
        <w:rPr>
          <w:rFonts w:ascii="標楷體" w:hAnsi="標楷體"/>
          <w:b/>
        </w:rPr>
        <w:t>2</w:t>
      </w:r>
      <w:r w:rsidRPr="00AE695B">
        <w:rPr>
          <w:rFonts w:ascii="標楷體" w:hAnsi="標楷體"/>
          <w:b/>
        </w:rPr>
        <w:t>）</w:t>
      </w:r>
      <w:r w:rsidRPr="00AE695B">
        <w:rPr>
          <w:rFonts w:ascii="標楷體" w:hAnsi="標楷體"/>
        </w:rPr>
        <w:t>網路資料：</w:t>
      </w:r>
      <w:proofErr w:type="gramStart"/>
      <w:r w:rsidRPr="00AE695B">
        <w:rPr>
          <w:rFonts w:ascii="標楷體" w:hAnsi="標楷體"/>
        </w:rPr>
        <w:t>證期局網站</w:t>
      </w:r>
      <w:proofErr w:type="gramEnd"/>
      <w:r w:rsidRPr="00AE695B">
        <w:rPr>
          <w:rFonts w:ascii="標楷體" w:hAnsi="標楷體"/>
        </w:rPr>
        <w:t>，</w:t>
      </w:r>
      <w:r w:rsidRPr="00615CB5">
        <w:rPr>
          <w:rFonts w:ascii="標楷體" w:hAnsi="標楷體" w:hint="eastAsia"/>
        </w:rPr>
        <w:t>http://www.sfb.gov.tw</w:t>
      </w:r>
      <w:r w:rsidRPr="00AE695B">
        <w:rPr>
          <w:rFonts w:ascii="標楷體" w:hAnsi="標楷體"/>
        </w:rPr>
        <w:t>，最後瀏覽日：</w:t>
      </w:r>
      <w:r w:rsidRPr="00AE695B">
        <w:rPr>
          <w:rFonts w:ascii="標楷體" w:hAnsi="標楷體"/>
        </w:rPr>
        <w:t>2008/05/17</w:t>
      </w:r>
    </w:p>
    <w:p w:rsidR="00B53DEA" w:rsidRPr="00AE695B" w:rsidRDefault="00B53DEA" w:rsidP="00B53DEA">
      <w:pPr>
        <w:ind w:firstLineChars="100" w:firstLine="240"/>
        <w:rPr>
          <w:rFonts w:ascii="標楷體" w:hAnsi="標楷體"/>
          <w:b/>
        </w:rPr>
      </w:pPr>
      <w:r w:rsidRPr="00AE695B">
        <w:rPr>
          <w:rFonts w:ascii="標楷體" w:hAnsi="標楷體" w:hint="eastAsia"/>
          <w:b/>
        </w:rPr>
        <w:t>（三）外國文獻引</w:t>
      </w:r>
      <w:proofErr w:type="gramStart"/>
      <w:r w:rsidRPr="00AE695B">
        <w:rPr>
          <w:rFonts w:ascii="標楷體" w:hAnsi="標楷體" w:hint="eastAsia"/>
          <w:b/>
        </w:rPr>
        <w:t>註</w:t>
      </w:r>
      <w:proofErr w:type="gramEnd"/>
      <w:r w:rsidRPr="00AE695B">
        <w:rPr>
          <w:rFonts w:ascii="標楷體" w:hAnsi="標楷體" w:hint="eastAsia"/>
          <w:b/>
        </w:rPr>
        <w:t>格式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1.</w:t>
      </w:r>
      <w:r w:rsidRPr="00AE695B">
        <w:rPr>
          <w:rFonts w:ascii="標楷體" w:hAnsi="標楷體" w:hint="eastAsia"/>
        </w:rPr>
        <w:t>引</w:t>
      </w:r>
      <w:proofErr w:type="gramStart"/>
      <w:r w:rsidRPr="00AE695B">
        <w:rPr>
          <w:rFonts w:ascii="標楷體" w:hAnsi="標楷體" w:hint="eastAsia"/>
        </w:rPr>
        <w:t>註</w:t>
      </w:r>
      <w:proofErr w:type="gramEnd"/>
      <w:r w:rsidRPr="00AE695B">
        <w:rPr>
          <w:rFonts w:ascii="標楷體" w:hAnsi="標楷體" w:hint="eastAsia"/>
        </w:rPr>
        <w:t>基本格式：</w:t>
      </w:r>
    </w:p>
    <w:p w:rsidR="00B53DEA" w:rsidRPr="00AE695B" w:rsidRDefault="00B53DEA" w:rsidP="00B53DEA">
      <w:pPr>
        <w:ind w:leftChars="60" w:left="984" w:hangingChars="350" w:hanging="840"/>
        <w:rPr>
          <w:rFonts w:ascii="標楷體" w:hAnsi="標楷體"/>
        </w:rPr>
      </w:pPr>
      <w:r w:rsidRPr="00AE695B">
        <w:rPr>
          <w:rFonts w:ascii="標楷體" w:hAnsi="標楷體"/>
        </w:rPr>
        <w:t xml:space="preserve">  </w:t>
      </w:r>
      <w:r w:rsidRPr="00AE695B">
        <w:rPr>
          <w:rFonts w:ascii="標楷體" w:hAnsi="標楷體" w:hint="eastAsia"/>
        </w:rPr>
        <w:t xml:space="preserve">     </w:t>
      </w:r>
      <w:r w:rsidRPr="00AE695B">
        <w:rPr>
          <w:rFonts w:ascii="標楷體" w:hAnsi="標楷體"/>
        </w:rPr>
        <w:t>引用外文文獻，請註明作者、論文或專書題目、出處（如期刊名稱及卷期數）、出版資訊、頁數及年代等，引用格式</w:t>
      </w:r>
      <w:r w:rsidRPr="00AE695B">
        <w:rPr>
          <w:rFonts w:ascii="標楷體" w:hAnsi="標楷體" w:hint="eastAsia"/>
        </w:rPr>
        <w:t>請</w:t>
      </w:r>
      <w:r w:rsidRPr="00AE695B">
        <w:rPr>
          <w:rFonts w:ascii="標楷體" w:hAnsi="標楷體"/>
        </w:rPr>
        <w:t>依各該國</w:t>
      </w:r>
      <w:r>
        <w:rPr>
          <w:rFonts w:ascii="標楷體" w:hAnsi="標楷體" w:hint="eastAsia"/>
        </w:rPr>
        <w:t>學術引</w:t>
      </w:r>
      <w:proofErr w:type="gramStart"/>
      <w:r>
        <w:rPr>
          <w:rFonts w:ascii="標楷體" w:hAnsi="標楷體" w:hint="eastAsia"/>
        </w:rPr>
        <w:t>註</w:t>
      </w:r>
      <w:proofErr w:type="gramEnd"/>
      <w:r w:rsidRPr="00AE695B">
        <w:rPr>
          <w:rFonts w:ascii="標楷體" w:hAnsi="標楷體"/>
        </w:rPr>
        <w:t>習慣。</w:t>
      </w:r>
    </w:p>
    <w:p w:rsidR="00B53DEA" w:rsidRPr="00AE695B" w:rsidRDefault="00B53DEA" w:rsidP="00B53DEA">
      <w:pPr>
        <w:ind w:firstLineChars="300" w:firstLine="7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2.</w:t>
      </w:r>
      <w:r w:rsidRPr="00AE695B">
        <w:rPr>
          <w:rFonts w:ascii="標楷體" w:hAnsi="標楷體" w:hint="eastAsia"/>
        </w:rPr>
        <w:t>具體例示如下：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 w:hint="eastAsia"/>
        </w:rPr>
        <w:t xml:space="preserve">       </w:t>
      </w: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1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 w:hint="eastAsia"/>
        </w:rPr>
        <w:t>英文資料</w:t>
      </w:r>
    </w:p>
    <w:p w:rsidR="00B53DEA" w:rsidRPr="00AE695B" w:rsidRDefault="00B53DEA" w:rsidP="00B53DEA">
      <w:pPr>
        <w:ind w:left="2520" w:hangingChars="1050" w:hanging="2520"/>
        <w:rPr>
          <w:rFonts w:ascii="標楷體" w:hAnsi="標楷體"/>
        </w:rPr>
      </w:pPr>
      <w:r w:rsidRPr="00AE695B">
        <w:rPr>
          <w:rFonts w:ascii="標楷體" w:hAnsi="標楷體"/>
        </w:rPr>
        <w:t xml:space="preserve">          </w:t>
      </w:r>
      <w:r w:rsidRPr="00AE695B">
        <w:rPr>
          <w:rFonts w:ascii="標楷體" w:hAnsi="標楷體"/>
          <w:b/>
        </w:rPr>
        <w:t>Ⅰ.</w:t>
      </w:r>
      <w:r w:rsidRPr="00AE695B">
        <w:rPr>
          <w:rFonts w:ascii="標楷體" w:hAnsi="標楷體"/>
        </w:rPr>
        <w:t>專書類：</w:t>
      </w:r>
      <w:proofErr w:type="gramStart"/>
      <w:r w:rsidRPr="00AE695B">
        <w:rPr>
          <w:rStyle w:val="text01"/>
          <w:rFonts w:ascii="標楷體" w:hAnsi="標楷體"/>
        </w:rPr>
        <w:t>DEBORAH L. RHODE, JUSTICE AND GENDER 56(1989).</w:t>
      </w:r>
      <w:proofErr w:type="gramEnd"/>
      <w:r w:rsidRPr="00AE695B">
        <w:rPr>
          <w:rStyle w:val="text01"/>
          <w:rFonts w:ascii="標楷體" w:hAnsi="標楷體"/>
        </w:rPr>
        <w:t> </w:t>
      </w:r>
    </w:p>
    <w:p w:rsidR="00B53DEA" w:rsidRPr="00AE695B" w:rsidRDefault="00B53DEA" w:rsidP="00B53DEA">
      <w:pPr>
        <w:ind w:leftChars="500" w:left="2762" w:hangingChars="650" w:hanging="1562"/>
        <w:rPr>
          <w:rFonts w:ascii="標楷體" w:hAnsi="標楷體"/>
        </w:rPr>
      </w:pPr>
      <w:r w:rsidRPr="00AE695B">
        <w:rPr>
          <w:rFonts w:ascii="標楷體" w:hAnsi="標楷體"/>
          <w:b/>
        </w:rPr>
        <w:t>Ⅱ.</w:t>
      </w:r>
      <w:r w:rsidRPr="00AE695B">
        <w:rPr>
          <w:rFonts w:ascii="標楷體" w:hAnsi="標楷體"/>
        </w:rPr>
        <w:t>期刊文獻：</w:t>
      </w:r>
      <w:proofErr w:type="gramStart"/>
      <w:r w:rsidRPr="00AE695B">
        <w:rPr>
          <w:rStyle w:val="text01"/>
          <w:rFonts w:ascii="標楷體" w:hAnsi="標楷體"/>
        </w:rPr>
        <w:t>Bruce Ackerman, Robert Bork Grand Inquisition, 99 YALE L. J. 1410, 1422-25(1990).</w:t>
      </w:r>
      <w:proofErr w:type="gramEnd"/>
    </w:p>
    <w:p w:rsidR="00B53DEA" w:rsidRPr="00AE695B" w:rsidRDefault="00B53DEA" w:rsidP="00B53DEA">
      <w:pPr>
        <w:ind w:leftChars="500" w:left="2640" w:hangingChars="600" w:hanging="1440"/>
        <w:rPr>
          <w:rFonts w:ascii="標楷體" w:hAnsi="標楷體"/>
        </w:rPr>
      </w:pPr>
      <w:proofErr w:type="gramStart"/>
      <w:r w:rsidRPr="00AE695B">
        <w:rPr>
          <w:rFonts w:ascii="標楷體" w:hAnsi="標楷體"/>
        </w:rPr>
        <w:t>Ⅲ</w:t>
      </w:r>
      <w:r w:rsidRPr="00AE695B">
        <w:rPr>
          <w:rFonts w:ascii="標楷體" w:hAnsi="標楷體"/>
        </w:rPr>
        <w:t>專書</w:t>
      </w:r>
      <w:proofErr w:type="gramEnd"/>
      <w:r w:rsidRPr="00AE695B">
        <w:rPr>
          <w:rFonts w:ascii="標楷體" w:hAnsi="標楷體"/>
        </w:rPr>
        <w:t>文獻：</w:t>
      </w:r>
      <w:r w:rsidRPr="00AE695B">
        <w:rPr>
          <w:rStyle w:val="text01"/>
          <w:rFonts w:ascii="標楷體" w:hAnsi="標楷體"/>
        </w:rPr>
        <w:t>ADRIENNE RICH., Transcendental Etude, in THE FACT OF A DOORFRAME</w:t>
      </w:r>
      <w:r w:rsidRPr="00AE695B">
        <w:rPr>
          <w:rStyle w:val="text01"/>
          <w:rFonts w:ascii="標楷體" w:hAnsi="標楷體" w:hint="eastAsia"/>
        </w:rPr>
        <w:t xml:space="preserve"> </w:t>
      </w:r>
      <w:r w:rsidRPr="00AE695B">
        <w:rPr>
          <w:rStyle w:val="text01"/>
          <w:rFonts w:ascii="標楷體" w:hAnsi="標楷體"/>
        </w:rPr>
        <w:t>264, 267-68(1984) </w:t>
      </w:r>
    </w:p>
    <w:p w:rsidR="00B53DEA" w:rsidRPr="00AE695B" w:rsidRDefault="00B53DEA" w:rsidP="00B53DEA">
      <w:pPr>
        <w:rPr>
          <w:rFonts w:ascii="標楷體" w:hAnsi="標楷體"/>
        </w:rPr>
      </w:pPr>
      <w:r w:rsidRPr="00AE695B">
        <w:rPr>
          <w:rFonts w:ascii="標楷體" w:hAnsi="標楷體" w:hint="eastAsia"/>
        </w:rPr>
        <w:t xml:space="preserve">       </w:t>
      </w:r>
      <w:r w:rsidRPr="00AE695B">
        <w:rPr>
          <w:rFonts w:ascii="標楷體" w:hAnsi="標楷體" w:hint="eastAsia"/>
          <w:b/>
        </w:rPr>
        <w:t>（</w:t>
      </w:r>
      <w:r w:rsidRPr="00AE695B">
        <w:rPr>
          <w:rFonts w:ascii="標楷體" w:hAnsi="標楷體" w:hint="eastAsia"/>
          <w:b/>
        </w:rPr>
        <w:t>2</w:t>
      </w:r>
      <w:r w:rsidRPr="00AE695B">
        <w:rPr>
          <w:rFonts w:ascii="標楷體" w:hAnsi="標楷體" w:hint="eastAsia"/>
          <w:b/>
        </w:rPr>
        <w:t>）</w:t>
      </w:r>
      <w:r w:rsidRPr="00AE695B">
        <w:rPr>
          <w:rFonts w:ascii="標楷體" w:hAnsi="標楷體" w:hint="eastAsia"/>
        </w:rPr>
        <w:t>德文資料</w:t>
      </w:r>
    </w:p>
    <w:p w:rsidR="00B53DEA" w:rsidRPr="00AE695B" w:rsidRDefault="00B53DEA" w:rsidP="00B53DEA">
      <w:pPr>
        <w:ind w:leftChars="500" w:left="2521" w:hangingChars="550" w:hanging="1321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Ⅰ</w:t>
      </w:r>
      <w:r w:rsidRPr="00AE695B">
        <w:rPr>
          <w:rFonts w:ascii="標楷體" w:hAnsi="標楷體" w:hint="eastAsia"/>
          <w:b/>
        </w:rPr>
        <w:t>.</w:t>
      </w:r>
      <w:r w:rsidRPr="00AE695B">
        <w:rPr>
          <w:rFonts w:ascii="標楷體" w:hAnsi="標楷體" w:hint="eastAsia"/>
        </w:rPr>
        <w:t>專書類：</w:t>
      </w:r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Radbruch</w:t>
      </w:r>
      <w:proofErr w:type="spellEnd"/>
      <w:r w:rsidRPr="00AE695B">
        <w:rPr>
          <w:rStyle w:val="text01"/>
          <w:rFonts w:ascii="標楷體" w:hAnsi="標楷體"/>
        </w:rPr>
        <w:t xml:space="preserve">, </w:t>
      </w:r>
      <w:proofErr w:type="spellStart"/>
      <w:r w:rsidRPr="00AE695B">
        <w:rPr>
          <w:rStyle w:val="text01"/>
          <w:rFonts w:ascii="標楷體" w:hAnsi="標楷體"/>
        </w:rPr>
        <w:t>Rechtsphilosophie</w:t>
      </w:r>
      <w:proofErr w:type="spellEnd"/>
      <w:r w:rsidRPr="00AE695B">
        <w:rPr>
          <w:rStyle w:val="text01"/>
          <w:rFonts w:ascii="標楷體" w:hAnsi="標楷體"/>
        </w:rPr>
        <w:t xml:space="preserve">, 8. </w:t>
      </w:r>
      <w:proofErr w:type="spellStart"/>
      <w:proofErr w:type="gramStart"/>
      <w:r w:rsidRPr="00AE695B">
        <w:rPr>
          <w:rStyle w:val="text01"/>
          <w:rFonts w:ascii="標楷體" w:hAnsi="標楷體"/>
        </w:rPr>
        <w:t>Aufl</w:t>
      </w:r>
      <w:proofErr w:type="spellEnd"/>
      <w:r w:rsidRPr="00AE695B">
        <w:rPr>
          <w:rStyle w:val="text01"/>
          <w:rFonts w:ascii="標楷體" w:hAnsi="標楷體"/>
        </w:rPr>
        <w:t>.,</w:t>
      </w:r>
      <w:proofErr w:type="gramEnd"/>
      <w:r w:rsidRPr="00AE695B">
        <w:rPr>
          <w:rStyle w:val="text01"/>
          <w:rFonts w:ascii="標楷體" w:hAnsi="標楷體"/>
        </w:rPr>
        <w:t xml:space="preserve"> 1973, S. 31.</w:t>
      </w:r>
      <w:r w:rsidRPr="00AE695B">
        <w:rPr>
          <w:rStyle w:val="text01"/>
          <w:rFonts w:ascii="標楷體" w:hAnsi="標楷體"/>
        </w:rPr>
        <w:t>（若為段碼應註明</w:t>
      </w:r>
      <w:r w:rsidRPr="00AE695B">
        <w:rPr>
          <w:rStyle w:val="text01"/>
          <w:rFonts w:ascii="標楷體" w:hAnsi="標楷體"/>
        </w:rPr>
        <w:t>Rn. 31</w:t>
      </w:r>
      <w:proofErr w:type="gramStart"/>
      <w:r w:rsidRPr="00AE695B">
        <w:rPr>
          <w:rStyle w:val="text01"/>
          <w:rFonts w:ascii="標楷體" w:hAnsi="標楷體"/>
        </w:rPr>
        <w:t>）</w:t>
      </w:r>
      <w:proofErr w:type="gramEnd"/>
      <w:r w:rsidRPr="00AE695B">
        <w:rPr>
          <w:rStyle w:val="text01"/>
          <w:rFonts w:ascii="標楷體" w:hAnsi="標楷體"/>
        </w:rPr>
        <w:t> </w:t>
      </w:r>
    </w:p>
    <w:p w:rsidR="00B53DEA" w:rsidRPr="00AE695B" w:rsidRDefault="00B53DEA" w:rsidP="00B53DEA">
      <w:pPr>
        <w:ind w:leftChars="500" w:left="2762" w:hangingChars="650" w:hanging="1562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Ⅱ</w:t>
      </w:r>
      <w:r w:rsidRPr="00AE695B">
        <w:rPr>
          <w:rFonts w:ascii="標楷體" w:hAnsi="標楷體" w:hint="eastAsia"/>
          <w:b/>
        </w:rPr>
        <w:t>.</w:t>
      </w:r>
      <w:r w:rsidRPr="00AE695B">
        <w:rPr>
          <w:rFonts w:ascii="標楷體" w:hAnsi="標楷體" w:hint="eastAsia"/>
        </w:rPr>
        <w:t>期刊文獻：</w:t>
      </w:r>
      <w:r w:rsidRPr="00AE695B">
        <w:rPr>
          <w:rStyle w:val="text01"/>
          <w:rFonts w:ascii="標楷體" w:hAnsi="標楷體"/>
        </w:rPr>
        <w:t xml:space="preserve">Schreiber, Das </w:t>
      </w:r>
      <w:proofErr w:type="spellStart"/>
      <w:r w:rsidRPr="00AE695B">
        <w:rPr>
          <w:rStyle w:val="text01"/>
          <w:rFonts w:ascii="標楷體" w:hAnsi="標楷體"/>
        </w:rPr>
        <w:t>Arbeitsverhältnis</w:t>
      </w:r>
      <w:proofErr w:type="spellEnd"/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beim</w:t>
      </w:r>
      <w:proofErr w:type="spellEnd"/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Übergang</w:t>
      </w:r>
      <w:proofErr w:type="spellEnd"/>
      <w:r w:rsidRPr="00AE695B">
        <w:rPr>
          <w:rStyle w:val="text01"/>
          <w:rFonts w:ascii="標楷體" w:hAnsi="標楷體"/>
        </w:rPr>
        <w:t xml:space="preserve"> des </w:t>
      </w:r>
      <w:proofErr w:type="spellStart"/>
      <w:r w:rsidRPr="00AE695B">
        <w:rPr>
          <w:rStyle w:val="text01"/>
          <w:rFonts w:ascii="標楷體" w:hAnsi="標楷體"/>
        </w:rPr>
        <w:t>Betriebs</w:t>
      </w:r>
      <w:proofErr w:type="spellEnd"/>
      <w:r w:rsidRPr="00AE695B">
        <w:rPr>
          <w:rStyle w:val="text01"/>
          <w:rFonts w:ascii="標楷體" w:hAnsi="標楷體"/>
        </w:rPr>
        <w:t xml:space="preserve">, </w:t>
      </w:r>
      <w:proofErr w:type="spellStart"/>
      <w:proofErr w:type="gramStart"/>
      <w:r w:rsidRPr="00AE695B">
        <w:rPr>
          <w:rStyle w:val="text01"/>
          <w:rFonts w:ascii="標楷體" w:hAnsi="標楷體"/>
        </w:rPr>
        <w:t>RdA</w:t>
      </w:r>
      <w:proofErr w:type="spellEnd"/>
      <w:proofErr w:type="gramEnd"/>
      <w:r w:rsidRPr="00AE695B">
        <w:rPr>
          <w:rStyle w:val="text01"/>
          <w:rFonts w:ascii="標楷體" w:hAnsi="標楷體"/>
        </w:rPr>
        <w:t xml:space="preserve"> 1982, S.</w:t>
      </w:r>
      <w:r>
        <w:rPr>
          <w:rStyle w:val="text01"/>
          <w:rFonts w:ascii="標楷體" w:hAnsi="標楷體" w:hint="eastAsia"/>
        </w:rPr>
        <w:t xml:space="preserve"> </w:t>
      </w:r>
      <w:r w:rsidRPr="00AE695B">
        <w:rPr>
          <w:rStyle w:val="text01"/>
          <w:rFonts w:ascii="標楷體" w:hAnsi="標楷體"/>
        </w:rPr>
        <w:t>137 ff.</w:t>
      </w:r>
    </w:p>
    <w:p w:rsidR="00B53DEA" w:rsidRPr="00AE695B" w:rsidRDefault="00B53DEA" w:rsidP="00B53DEA">
      <w:pPr>
        <w:ind w:leftChars="500" w:left="2762" w:hangingChars="650" w:hanging="1562"/>
        <w:rPr>
          <w:rFonts w:ascii="標楷體" w:hAnsi="標楷體"/>
        </w:rPr>
      </w:pPr>
      <w:r w:rsidRPr="00AE695B">
        <w:rPr>
          <w:rFonts w:ascii="標楷體" w:hAnsi="標楷體" w:hint="eastAsia"/>
          <w:b/>
        </w:rPr>
        <w:t>Ⅲ</w:t>
      </w:r>
      <w:r w:rsidRPr="00AE695B">
        <w:rPr>
          <w:rFonts w:ascii="標楷體" w:hAnsi="標楷體" w:hint="eastAsia"/>
          <w:b/>
        </w:rPr>
        <w:t>.</w:t>
      </w:r>
      <w:r w:rsidRPr="00AE695B">
        <w:rPr>
          <w:rFonts w:ascii="標楷體" w:hAnsi="標楷體" w:hint="eastAsia"/>
        </w:rPr>
        <w:t>專書文獻：</w:t>
      </w:r>
      <w:r w:rsidRPr="00AE695B">
        <w:rPr>
          <w:rStyle w:val="text01"/>
          <w:rFonts w:ascii="標楷體" w:hAnsi="標楷體"/>
        </w:rPr>
        <w:t xml:space="preserve">Schulte, </w:t>
      </w:r>
      <w:proofErr w:type="spellStart"/>
      <w:r w:rsidRPr="00AE695B">
        <w:rPr>
          <w:rStyle w:val="text01"/>
          <w:rFonts w:ascii="標楷體" w:hAnsi="標楷體"/>
        </w:rPr>
        <w:t>Alterssicherung</w:t>
      </w:r>
      <w:proofErr w:type="spellEnd"/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im</w:t>
      </w:r>
      <w:proofErr w:type="spellEnd"/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Vereinigten</w:t>
      </w:r>
      <w:proofErr w:type="spellEnd"/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Königreich</w:t>
      </w:r>
      <w:proofErr w:type="spellEnd"/>
      <w:r w:rsidRPr="00AE695B">
        <w:rPr>
          <w:rStyle w:val="text01"/>
          <w:rFonts w:ascii="標楷體" w:hAnsi="標楷體"/>
        </w:rPr>
        <w:t xml:space="preserve">, in: Hans-Joachim </w:t>
      </w:r>
      <w:proofErr w:type="spellStart"/>
      <w:r w:rsidRPr="00AE695B">
        <w:rPr>
          <w:rStyle w:val="text01"/>
          <w:rFonts w:ascii="標楷體" w:hAnsi="標楷體"/>
        </w:rPr>
        <w:t>Rheinhard</w:t>
      </w:r>
      <w:proofErr w:type="spellEnd"/>
      <w:r w:rsidRPr="00AE695B">
        <w:rPr>
          <w:rStyle w:val="text01"/>
          <w:rFonts w:ascii="標楷體" w:hAnsi="標楷體"/>
        </w:rPr>
        <w:t xml:space="preserve"> (</w:t>
      </w:r>
      <w:proofErr w:type="spellStart"/>
      <w:r w:rsidRPr="00AE695B">
        <w:rPr>
          <w:rStyle w:val="text01"/>
          <w:rFonts w:ascii="標楷體" w:hAnsi="標楷體"/>
        </w:rPr>
        <w:t>Hrsg</w:t>
      </w:r>
      <w:proofErr w:type="spellEnd"/>
      <w:r w:rsidRPr="00AE695B">
        <w:rPr>
          <w:rStyle w:val="text01"/>
          <w:rFonts w:ascii="標楷體" w:hAnsi="標楷體"/>
        </w:rPr>
        <w:t>.),</w:t>
      </w:r>
      <w:r>
        <w:rPr>
          <w:rStyle w:val="text01"/>
          <w:rFonts w:ascii="標楷體" w:hAnsi="標楷體" w:hint="eastAsia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Demographischer</w:t>
      </w:r>
      <w:proofErr w:type="spellEnd"/>
      <w:r w:rsidRPr="00AE695B">
        <w:rPr>
          <w:rStyle w:val="text01"/>
          <w:rFonts w:ascii="標楷體" w:hAnsi="標楷體"/>
        </w:rPr>
        <w:t xml:space="preserve"> </w:t>
      </w:r>
      <w:proofErr w:type="spellStart"/>
      <w:r w:rsidRPr="00AE695B">
        <w:rPr>
          <w:rStyle w:val="text01"/>
          <w:rFonts w:ascii="標楷體" w:hAnsi="標楷體"/>
        </w:rPr>
        <w:t>Wandel</w:t>
      </w:r>
      <w:proofErr w:type="spellEnd"/>
      <w:r w:rsidRPr="00AE695B">
        <w:rPr>
          <w:rStyle w:val="text01"/>
          <w:rFonts w:ascii="標楷體" w:hAnsi="標楷體"/>
        </w:rPr>
        <w:t xml:space="preserve"> und </w:t>
      </w:r>
      <w:proofErr w:type="spellStart"/>
      <w:r w:rsidRPr="00AE695B">
        <w:rPr>
          <w:rStyle w:val="text01"/>
          <w:rFonts w:ascii="標楷體" w:hAnsi="標楷體"/>
        </w:rPr>
        <w:t>Alterssicherung</w:t>
      </w:r>
      <w:proofErr w:type="spellEnd"/>
      <w:r w:rsidRPr="00AE695B">
        <w:rPr>
          <w:rStyle w:val="text01"/>
          <w:rFonts w:ascii="標楷體" w:hAnsi="標楷體"/>
        </w:rPr>
        <w:t>, 2001, S. 295-297. </w:t>
      </w:r>
    </w:p>
    <w:p w:rsidR="00B53DEA" w:rsidRPr="00AE695B" w:rsidRDefault="00B53DEA" w:rsidP="00B53DEA">
      <w:pPr>
        <w:rPr>
          <w:rFonts w:ascii="標楷體" w:hAnsi="標楷體"/>
          <w:b/>
        </w:rPr>
      </w:pPr>
      <w:r w:rsidRPr="00AE695B">
        <w:rPr>
          <w:rFonts w:ascii="標楷體" w:hAnsi="標楷體" w:hint="eastAsia"/>
          <w:b/>
        </w:rPr>
        <w:t>二、參考文獻格式</w:t>
      </w:r>
    </w:p>
    <w:p w:rsidR="00B53DEA" w:rsidRPr="00AE695B" w:rsidRDefault="00B53DEA" w:rsidP="00B53DEA">
      <w:pPr>
        <w:ind w:firstLineChars="100" w:firstLine="240"/>
        <w:rPr>
          <w:rFonts w:ascii="標楷體" w:hAnsi="標楷體"/>
          <w:b/>
        </w:rPr>
      </w:pPr>
      <w:r w:rsidRPr="00AE695B">
        <w:rPr>
          <w:rFonts w:ascii="標楷體" w:hAnsi="標楷體" w:hint="eastAsia"/>
          <w:b/>
        </w:rPr>
        <w:t>（一）應列入參考文獻之引用資料範圍：</w:t>
      </w:r>
    </w:p>
    <w:p w:rsidR="00B53DEA" w:rsidRPr="00AE695B" w:rsidRDefault="00B53DEA" w:rsidP="00B53DEA">
      <w:pPr>
        <w:ind w:left="960" w:hangingChars="400" w:hanging="960"/>
        <w:rPr>
          <w:rFonts w:ascii="標楷體" w:hAnsi="標楷體"/>
        </w:rPr>
      </w:pPr>
      <w:r w:rsidRPr="00AE695B">
        <w:rPr>
          <w:rFonts w:ascii="標楷體" w:hAnsi="標楷體"/>
        </w:rPr>
        <w:t xml:space="preserve">      </w:t>
      </w:r>
      <w:r w:rsidRPr="00AE695B">
        <w:rPr>
          <w:rFonts w:ascii="標楷體" w:hAnsi="標楷體" w:hint="eastAsia"/>
        </w:rPr>
        <w:t xml:space="preserve">  </w:t>
      </w:r>
      <w:r w:rsidRPr="00AE695B">
        <w:rPr>
          <w:rFonts w:ascii="標楷體" w:hAnsi="標楷體"/>
        </w:rPr>
        <w:t>為利讀者查詢資料，除法令裁判、新聞報導等資料性文獻得不列入外，</w:t>
      </w:r>
      <w:r w:rsidRPr="00AE695B">
        <w:rPr>
          <w:rFonts w:ascii="標楷體" w:hAnsi="標楷體" w:hint="eastAsia"/>
        </w:rPr>
        <w:t>凡</w:t>
      </w:r>
      <w:r w:rsidRPr="00AE695B">
        <w:rPr>
          <w:rFonts w:ascii="標楷體" w:hAnsi="標楷體"/>
        </w:rPr>
        <w:t>正文（含附錄）所引</w:t>
      </w:r>
      <w:proofErr w:type="gramStart"/>
      <w:r w:rsidRPr="00AE695B">
        <w:rPr>
          <w:rFonts w:ascii="標楷體" w:hAnsi="標楷體" w:hint="eastAsia"/>
        </w:rPr>
        <w:t>註</w:t>
      </w:r>
      <w:proofErr w:type="gramEnd"/>
      <w:r w:rsidRPr="00AE695B">
        <w:rPr>
          <w:rFonts w:ascii="標楷體" w:hAnsi="標楷體"/>
        </w:rPr>
        <w:t>的</w:t>
      </w:r>
      <w:r w:rsidRPr="00AE695B">
        <w:rPr>
          <w:rFonts w:ascii="標楷體" w:hAnsi="標楷體" w:hint="eastAsia"/>
        </w:rPr>
        <w:t>所有書目</w:t>
      </w:r>
      <w:proofErr w:type="gramStart"/>
      <w:r w:rsidRPr="00AE695B">
        <w:rPr>
          <w:rFonts w:ascii="標楷體" w:hAnsi="標楷體" w:hint="eastAsia"/>
        </w:rPr>
        <w:t>篇章</w:t>
      </w:r>
      <w:r w:rsidRPr="00AE695B">
        <w:rPr>
          <w:rFonts w:ascii="標楷體" w:hAnsi="標楷體"/>
        </w:rPr>
        <w:t>均</w:t>
      </w:r>
      <w:r>
        <w:rPr>
          <w:rFonts w:ascii="標楷體" w:hAnsi="標楷體" w:hint="eastAsia"/>
        </w:rPr>
        <w:t>須</w:t>
      </w:r>
      <w:r w:rsidRPr="00AE695B">
        <w:rPr>
          <w:rFonts w:ascii="標楷體" w:hAnsi="標楷體"/>
        </w:rPr>
        <w:t>列入</w:t>
      </w:r>
      <w:proofErr w:type="gramEnd"/>
      <w:r w:rsidRPr="00AE695B">
        <w:rPr>
          <w:rFonts w:ascii="標楷體" w:hAnsi="標楷體"/>
        </w:rPr>
        <w:t>參考文獻</w:t>
      </w:r>
      <w:r>
        <w:rPr>
          <w:rFonts w:ascii="標楷體" w:hAnsi="標楷體" w:hint="eastAsia"/>
        </w:rPr>
        <w:t>。</w:t>
      </w:r>
      <w:r w:rsidRPr="00AE695B">
        <w:rPr>
          <w:rFonts w:ascii="標楷體" w:hAnsi="標楷體" w:hint="eastAsia"/>
        </w:rPr>
        <w:t>參考文獻</w:t>
      </w:r>
      <w:proofErr w:type="gramStart"/>
      <w:r w:rsidRPr="00AE695B">
        <w:rPr>
          <w:rFonts w:ascii="標楷體" w:hAnsi="標楷體" w:hint="eastAsia"/>
        </w:rPr>
        <w:t>頁目置</w:t>
      </w:r>
      <w:proofErr w:type="gramEnd"/>
      <w:r w:rsidRPr="00AE695B">
        <w:rPr>
          <w:rFonts w:ascii="標楷體" w:hAnsi="標楷體" w:hint="eastAsia"/>
        </w:rPr>
        <w:t>於</w:t>
      </w:r>
      <w:r w:rsidRPr="00AE695B">
        <w:rPr>
          <w:rFonts w:ascii="標楷體" w:hAnsi="標楷體"/>
        </w:rPr>
        <w:t>正文及附錄之後，英文摘要及關鍵詞之前。</w:t>
      </w:r>
    </w:p>
    <w:p w:rsidR="00B53DEA" w:rsidRPr="00AE695B" w:rsidRDefault="00B53DEA" w:rsidP="00B53DEA">
      <w:pPr>
        <w:ind w:firstLineChars="100" w:firstLine="240"/>
        <w:rPr>
          <w:rFonts w:ascii="標楷體" w:hAnsi="標楷體"/>
          <w:b/>
        </w:rPr>
      </w:pPr>
      <w:r w:rsidRPr="00AE695B">
        <w:rPr>
          <w:rFonts w:ascii="標楷體" w:hAnsi="標楷體" w:hint="eastAsia"/>
          <w:b/>
        </w:rPr>
        <w:t>（二）參考文獻排列順序</w:t>
      </w:r>
    </w:p>
    <w:p w:rsidR="00B53DEA" w:rsidRPr="00AE695B" w:rsidRDefault="00B53DEA" w:rsidP="00B53DEA">
      <w:pPr>
        <w:ind w:left="960" w:hangingChars="400" w:hanging="960"/>
        <w:rPr>
          <w:rFonts w:ascii="標楷體" w:hAnsi="標楷體"/>
        </w:rPr>
      </w:pPr>
      <w:r w:rsidRPr="00AE695B">
        <w:rPr>
          <w:rFonts w:ascii="標楷體" w:hAnsi="標楷體"/>
        </w:rPr>
        <w:t xml:space="preserve">     </w:t>
      </w:r>
      <w:r w:rsidRPr="00AE695B">
        <w:rPr>
          <w:rFonts w:ascii="標楷體" w:hAnsi="標楷體" w:hint="eastAsia"/>
        </w:rPr>
        <w:t xml:space="preserve"> </w:t>
      </w:r>
      <w:r w:rsidRPr="00AE695B">
        <w:rPr>
          <w:rFonts w:ascii="標楷體" w:hAnsi="標楷體"/>
          <w:b/>
        </w:rPr>
        <w:t>1.</w:t>
      </w:r>
      <w:r w:rsidRPr="00AE695B">
        <w:rPr>
          <w:rFonts w:ascii="標楷體" w:hAnsi="標楷體" w:hint="eastAsia"/>
        </w:rPr>
        <w:t>引用之書目篇章須區</w:t>
      </w:r>
      <w:r w:rsidRPr="00AE695B">
        <w:rPr>
          <w:rFonts w:ascii="標楷體" w:hAnsi="標楷體"/>
        </w:rPr>
        <w:t>分為中文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與外文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，中文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在前，外文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在後，外文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依照日文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、英文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、德文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及法文</w:t>
      </w:r>
      <w:r w:rsidRPr="00AE695B">
        <w:rPr>
          <w:rFonts w:ascii="標楷體" w:hAnsi="標楷體" w:hint="eastAsia"/>
        </w:rPr>
        <w:t>文獻</w:t>
      </w:r>
      <w:r w:rsidRPr="00AE695B">
        <w:rPr>
          <w:rFonts w:ascii="標楷體" w:hAnsi="標楷體"/>
        </w:rPr>
        <w:t>之順序</w:t>
      </w:r>
      <w:r w:rsidRPr="00AE695B">
        <w:rPr>
          <w:rFonts w:ascii="標楷體" w:hAnsi="標楷體" w:hint="eastAsia"/>
        </w:rPr>
        <w:t>分別</w:t>
      </w:r>
      <w:r w:rsidRPr="00AE695B">
        <w:rPr>
          <w:rFonts w:ascii="標楷體" w:hAnsi="標楷體"/>
        </w:rPr>
        <w:t>陳列</w:t>
      </w:r>
      <w:r w:rsidRPr="00AE695B">
        <w:rPr>
          <w:rFonts w:ascii="標楷體" w:hAnsi="標楷體" w:hint="eastAsia"/>
        </w:rPr>
        <w:t>，其陳列無須加</w:t>
      </w:r>
      <w:proofErr w:type="gramStart"/>
      <w:r w:rsidRPr="00AE695B">
        <w:rPr>
          <w:rFonts w:ascii="標楷體" w:hAnsi="標楷體" w:hint="eastAsia"/>
        </w:rPr>
        <w:t>註</w:t>
      </w:r>
      <w:proofErr w:type="gramEnd"/>
      <w:r w:rsidRPr="00AE695B">
        <w:rPr>
          <w:rFonts w:ascii="標楷體" w:hAnsi="標楷體" w:hint="eastAsia"/>
        </w:rPr>
        <w:t>編號。</w:t>
      </w:r>
    </w:p>
    <w:p w:rsidR="00B53DEA" w:rsidRPr="00AE695B" w:rsidRDefault="00B53DEA" w:rsidP="00B53DEA">
      <w:pPr>
        <w:ind w:left="960" w:hangingChars="400" w:hanging="960"/>
        <w:rPr>
          <w:rFonts w:ascii="標楷體" w:hAnsi="標楷體"/>
        </w:rPr>
      </w:pPr>
      <w:r w:rsidRPr="00AE695B">
        <w:rPr>
          <w:rFonts w:ascii="標楷體" w:hAnsi="標楷體"/>
        </w:rPr>
        <w:t xml:space="preserve">     </w:t>
      </w:r>
      <w:r w:rsidRPr="00AE695B">
        <w:rPr>
          <w:rFonts w:ascii="標楷體" w:hAnsi="標楷體" w:hint="eastAsia"/>
        </w:rPr>
        <w:t xml:space="preserve"> </w:t>
      </w:r>
      <w:r w:rsidRPr="00AE695B">
        <w:rPr>
          <w:rFonts w:ascii="標楷體" w:hAnsi="標楷體"/>
          <w:b/>
        </w:rPr>
        <w:t>2.</w:t>
      </w:r>
      <w:r w:rsidRPr="00AE695B">
        <w:rPr>
          <w:rFonts w:ascii="標楷體" w:hAnsi="標楷體"/>
        </w:rPr>
        <w:t>個別部分中，中文部分與日文部分依照作者姓氏之筆畫數由少至多陳列，其他外文部分則依照字母順序陳列，同一作者具多數</w:t>
      </w:r>
      <w:r w:rsidRPr="00AE695B">
        <w:rPr>
          <w:rFonts w:ascii="標楷體" w:hAnsi="標楷體" w:hint="eastAsia"/>
        </w:rPr>
        <w:t>引用</w:t>
      </w:r>
      <w:r w:rsidRPr="00AE695B">
        <w:rPr>
          <w:rFonts w:ascii="標楷體" w:hAnsi="標楷體"/>
        </w:rPr>
        <w:t>書目篇章時，則依照年代先後排序，年代均以西元紀年</w:t>
      </w:r>
      <w:r w:rsidRPr="00AE695B">
        <w:rPr>
          <w:rFonts w:ascii="標楷體" w:hAnsi="標楷體" w:hint="eastAsia"/>
        </w:rPr>
        <w:t>定</w:t>
      </w:r>
      <w:r w:rsidRPr="00AE695B">
        <w:rPr>
          <w:rFonts w:ascii="標楷體" w:hAnsi="標楷體"/>
        </w:rPr>
        <w:t>之</w:t>
      </w:r>
      <w:r w:rsidRPr="00AE695B">
        <w:rPr>
          <w:rFonts w:ascii="標楷體" w:hAnsi="標楷體" w:hint="eastAsia"/>
        </w:rPr>
        <w:t>，排序無須加</w:t>
      </w:r>
      <w:proofErr w:type="gramStart"/>
      <w:r w:rsidRPr="00AE695B">
        <w:rPr>
          <w:rFonts w:ascii="標楷體" w:hAnsi="標楷體" w:hint="eastAsia"/>
        </w:rPr>
        <w:t>註</w:t>
      </w:r>
      <w:proofErr w:type="gramEnd"/>
      <w:r w:rsidRPr="00AE695B">
        <w:rPr>
          <w:rFonts w:ascii="標楷體" w:hAnsi="標楷體" w:hint="eastAsia"/>
        </w:rPr>
        <w:t>編號。</w:t>
      </w:r>
    </w:p>
    <w:p w:rsidR="00B53DEA" w:rsidRPr="00AE695B" w:rsidRDefault="00B53DEA" w:rsidP="00B53DEA">
      <w:pPr>
        <w:ind w:firstLineChars="100" w:firstLine="240"/>
        <w:rPr>
          <w:rFonts w:ascii="標楷體" w:hAnsi="標楷體"/>
          <w:b/>
        </w:rPr>
      </w:pPr>
      <w:r w:rsidRPr="00AE695B">
        <w:rPr>
          <w:rFonts w:ascii="標楷體" w:hAnsi="標楷體" w:hint="eastAsia"/>
          <w:b/>
        </w:rPr>
        <w:t>（三）參考文獻之基本格式</w:t>
      </w:r>
    </w:p>
    <w:p w:rsidR="00B53DEA" w:rsidRDefault="00B53DEA" w:rsidP="00B53DEA">
      <w:pPr>
        <w:ind w:leftChars="400" w:left="960"/>
        <w:rPr>
          <w:rFonts w:ascii="標楷體" w:hAnsi="標楷體"/>
        </w:rPr>
      </w:pPr>
      <w:r w:rsidRPr="00AE695B">
        <w:rPr>
          <w:rFonts w:ascii="標楷體" w:hAnsi="標楷體" w:hint="eastAsia"/>
        </w:rPr>
        <w:t>參考文獻之基本格式原則上同引</w:t>
      </w:r>
      <w:proofErr w:type="gramStart"/>
      <w:r w:rsidRPr="00AE695B">
        <w:rPr>
          <w:rFonts w:ascii="標楷體" w:hAnsi="標楷體" w:hint="eastAsia"/>
        </w:rPr>
        <w:t>註</w:t>
      </w:r>
      <w:proofErr w:type="gramEnd"/>
      <w:r w:rsidRPr="00AE695B">
        <w:rPr>
          <w:rFonts w:ascii="標楷體" w:hAnsi="標楷體" w:hint="eastAsia"/>
        </w:rPr>
        <w:t>之基本格式，無須註明引用頁碼，但須另註明</w:t>
      </w:r>
      <w:proofErr w:type="gramStart"/>
      <w:r w:rsidRPr="00AE695B">
        <w:rPr>
          <w:rFonts w:ascii="標楷體" w:hAnsi="標楷體" w:hint="eastAsia"/>
        </w:rPr>
        <w:t>起迄</w:t>
      </w:r>
      <w:proofErr w:type="gramEnd"/>
      <w:r w:rsidRPr="00AE695B">
        <w:rPr>
          <w:rFonts w:ascii="標楷體" w:hAnsi="標楷體" w:hint="eastAsia"/>
        </w:rPr>
        <w:t>頁數</w:t>
      </w:r>
      <w:r>
        <w:rPr>
          <w:rFonts w:ascii="標楷體" w:hAnsi="標楷體" w:hint="eastAsia"/>
        </w:rPr>
        <w:t>（</w:t>
      </w:r>
      <w:r w:rsidRPr="00AE695B">
        <w:rPr>
          <w:rFonts w:ascii="標楷體" w:hAnsi="標楷體" w:hint="eastAsia"/>
        </w:rPr>
        <w:t>專書與學位論文除外</w:t>
      </w:r>
      <w:r>
        <w:rPr>
          <w:rFonts w:ascii="標楷體" w:hAnsi="標楷體" w:hint="eastAsia"/>
        </w:rPr>
        <w:t>）。</w:t>
      </w:r>
    </w:p>
    <w:p w:rsidR="00B53DEA" w:rsidRDefault="00B53DEA" w:rsidP="00B53DEA">
      <w:pPr>
        <w:ind w:leftChars="400" w:left="960"/>
        <w:rPr>
          <w:rFonts w:ascii="標楷體" w:hAnsi="標楷體"/>
        </w:rPr>
      </w:pPr>
      <w:r w:rsidRPr="00AE695B">
        <w:rPr>
          <w:rFonts w:ascii="標楷體" w:hAnsi="標楷體" w:hint="eastAsia"/>
        </w:rPr>
        <w:t>具體範例如：</w:t>
      </w:r>
      <w:r w:rsidRPr="00AE695B">
        <w:rPr>
          <w:rFonts w:ascii="標楷體" w:hAnsi="標楷體"/>
        </w:rPr>
        <w:t>林三欽，行政裁罰案件「故意過失」舉證責任之探討</w:t>
      </w:r>
      <w:r w:rsidRPr="00AE695B">
        <w:rPr>
          <w:rFonts w:ascii="標楷體" w:hAnsi="標楷體"/>
        </w:rPr>
        <w:t>--</w:t>
      </w:r>
      <w:r w:rsidRPr="00AE695B">
        <w:rPr>
          <w:rFonts w:ascii="標楷體" w:hAnsi="標楷體"/>
        </w:rPr>
        <w:t>以行政裁罰程序為中心，台灣法學雜誌，</w:t>
      </w:r>
      <w:r w:rsidRPr="00AE695B">
        <w:rPr>
          <w:rFonts w:ascii="標楷體" w:hAnsi="標楷體"/>
        </w:rPr>
        <w:t>138</w:t>
      </w:r>
      <w:r w:rsidRPr="00AE695B">
        <w:rPr>
          <w:rFonts w:ascii="標楷體" w:hAnsi="標楷體"/>
        </w:rPr>
        <w:t>期，</w:t>
      </w:r>
      <w:r w:rsidRPr="00AE695B">
        <w:rPr>
          <w:rFonts w:ascii="標楷體" w:hAnsi="標楷體"/>
        </w:rPr>
        <w:t>2009</w:t>
      </w:r>
      <w:r w:rsidRPr="00AE695B">
        <w:rPr>
          <w:rFonts w:ascii="標楷體" w:hAnsi="標楷體"/>
        </w:rPr>
        <w:t>年，頁</w:t>
      </w:r>
      <w:r w:rsidRPr="00AE695B">
        <w:rPr>
          <w:rFonts w:ascii="標楷體" w:hAnsi="標楷體" w:hint="eastAsia"/>
        </w:rPr>
        <w:t>130-142</w:t>
      </w:r>
      <w:r w:rsidRPr="00AE695B">
        <w:rPr>
          <w:rFonts w:ascii="標楷體" w:hAnsi="標楷體" w:hint="eastAsia"/>
        </w:rPr>
        <w:t>。</w:t>
      </w:r>
    </w:p>
    <w:p w:rsidR="002632DB" w:rsidRPr="00717841" w:rsidRDefault="00D876D3" w:rsidP="00B53DEA">
      <w:pPr>
        <w:ind w:leftChars="400" w:left="960"/>
        <w:jc w:val="right"/>
        <w:rPr>
          <w:rFonts w:ascii="華康正顏楷體 Std W5" w:eastAsia="華康正顏楷體 Std W5" w:hAnsi="華康正顏楷體 Std W5"/>
          <w:color w:val="000000" w:themeColor="text1"/>
        </w:rPr>
      </w:pPr>
      <w:r w:rsidRPr="00717841">
        <w:rPr>
          <w:rFonts w:ascii="華康正顏楷體 Std W5" w:eastAsia="華康正顏楷體 Std W5" w:hAnsi="華康正顏楷體 Std W5"/>
          <w:b/>
          <w:color w:val="000000" w:themeColor="text1"/>
          <w:sz w:val="28"/>
          <w:szCs w:val="28"/>
        </w:rPr>
        <w:t>(「引</w:t>
      </w:r>
      <w:proofErr w:type="gramStart"/>
      <w:r w:rsidRPr="00717841">
        <w:rPr>
          <w:rFonts w:ascii="華康正顏楷體 Std W5" w:eastAsia="華康正顏楷體 Std W5" w:hAnsi="華康正顏楷體 Std W5"/>
          <w:b/>
          <w:color w:val="000000" w:themeColor="text1"/>
          <w:sz w:val="28"/>
          <w:szCs w:val="28"/>
        </w:rPr>
        <w:t>註</w:t>
      </w:r>
      <w:proofErr w:type="gramEnd"/>
      <w:r w:rsidRPr="00717841">
        <w:rPr>
          <w:rFonts w:ascii="華康正顏楷體 Std W5" w:eastAsia="華康正顏楷體 Std W5" w:hAnsi="華康正顏楷體 Std W5"/>
          <w:b/>
          <w:color w:val="000000" w:themeColor="text1"/>
          <w:sz w:val="28"/>
          <w:szCs w:val="28"/>
        </w:rPr>
        <w:t>格式」摘自東吳法律學報)</w:t>
      </w:r>
    </w:p>
    <w:sectPr w:rsidR="002632DB" w:rsidRPr="00717841" w:rsidSect="00982FEB">
      <w:pgSz w:w="11907" w:h="16839" w:code="9"/>
      <w:pgMar w:top="-1077" w:right="1021" w:bottom="1134" w:left="1021" w:header="851" w:footer="567" w:gutter="0"/>
      <w:paperSrc w:first="1" w:other="1"/>
      <w:pgBorders w:offsetFrom="page">
        <w:top w:val="crazyMaze" w:sz="13" w:space="24" w:color="auto"/>
        <w:left w:val="crazyMaze" w:sz="13" w:space="24" w:color="auto"/>
        <w:bottom w:val="crazyMaze" w:sz="13" w:space="31" w:color="auto"/>
        <w:right w:val="crazyMaze" w:sz="13" w:space="24" w:color="auto"/>
      </w:pgBorders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0F" w:rsidRDefault="00B8270F">
      <w:r>
        <w:separator/>
      </w:r>
    </w:p>
  </w:endnote>
  <w:endnote w:type="continuationSeparator" w:id="0">
    <w:p w:rsidR="00B8270F" w:rsidRDefault="00B8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0F" w:rsidRDefault="00B8270F">
      <w:r>
        <w:separator/>
      </w:r>
    </w:p>
  </w:footnote>
  <w:footnote w:type="continuationSeparator" w:id="0">
    <w:p w:rsidR="00B8270F" w:rsidRDefault="00B8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630"/>
    <w:multiLevelType w:val="singleLevel"/>
    <w:tmpl w:val="417C895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37852456"/>
    <w:multiLevelType w:val="singleLevel"/>
    <w:tmpl w:val="5D785D7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">
    <w:nsid w:val="41AE7D42"/>
    <w:multiLevelType w:val="singleLevel"/>
    <w:tmpl w:val="25E075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">
    <w:nsid w:val="42AD21F3"/>
    <w:multiLevelType w:val="singleLevel"/>
    <w:tmpl w:val="1D0A4A12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>
    <w:nsid w:val="477504C6"/>
    <w:multiLevelType w:val="singleLevel"/>
    <w:tmpl w:val="8D58DB0C"/>
    <w:lvl w:ilvl="0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3A"/>
    <w:rsid w:val="00037895"/>
    <w:rsid w:val="000773B0"/>
    <w:rsid w:val="000E0873"/>
    <w:rsid w:val="00150AD6"/>
    <w:rsid w:val="0016527F"/>
    <w:rsid w:val="00174B80"/>
    <w:rsid w:val="001D610F"/>
    <w:rsid w:val="00200492"/>
    <w:rsid w:val="002158A9"/>
    <w:rsid w:val="00236C63"/>
    <w:rsid w:val="002632DB"/>
    <w:rsid w:val="00271535"/>
    <w:rsid w:val="0027633A"/>
    <w:rsid w:val="00283C8F"/>
    <w:rsid w:val="002926E0"/>
    <w:rsid w:val="002A456D"/>
    <w:rsid w:val="002F22EA"/>
    <w:rsid w:val="00325A5A"/>
    <w:rsid w:val="003546C7"/>
    <w:rsid w:val="003561B5"/>
    <w:rsid w:val="0037486C"/>
    <w:rsid w:val="003A06B1"/>
    <w:rsid w:val="003A7FFA"/>
    <w:rsid w:val="003B5A9B"/>
    <w:rsid w:val="003F47F2"/>
    <w:rsid w:val="0040025B"/>
    <w:rsid w:val="00421D4C"/>
    <w:rsid w:val="004562A4"/>
    <w:rsid w:val="00494134"/>
    <w:rsid w:val="004B783A"/>
    <w:rsid w:val="004D0603"/>
    <w:rsid w:val="005064C4"/>
    <w:rsid w:val="005400E5"/>
    <w:rsid w:val="00577ED8"/>
    <w:rsid w:val="00587520"/>
    <w:rsid w:val="005C6763"/>
    <w:rsid w:val="0060279A"/>
    <w:rsid w:val="00612C29"/>
    <w:rsid w:val="00615CB5"/>
    <w:rsid w:val="006321E4"/>
    <w:rsid w:val="00680394"/>
    <w:rsid w:val="006A3BC2"/>
    <w:rsid w:val="006B3FFF"/>
    <w:rsid w:val="006B5C8F"/>
    <w:rsid w:val="006C11E5"/>
    <w:rsid w:val="006D05FB"/>
    <w:rsid w:val="006D1092"/>
    <w:rsid w:val="006E43FE"/>
    <w:rsid w:val="006F5277"/>
    <w:rsid w:val="007140B5"/>
    <w:rsid w:val="00717841"/>
    <w:rsid w:val="00717F0B"/>
    <w:rsid w:val="007231C2"/>
    <w:rsid w:val="007261B1"/>
    <w:rsid w:val="00786C03"/>
    <w:rsid w:val="007B6FF5"/>
    <w:rsid w:val="007D1E6F"/>
    <w:rsid w:val="007D6240"/>
    <w:rsid w:val="007E7DA6"/>
    <w:rsid w:val="007F2DFF"/>
    <w:rsid w:val="00815016"/>
    <w:rsid w:val="00816B22"/>
    <w:rsid w:val="008214C0"/>
    <w:rsid w:val="0084613B"/>
    <w:rsid w:val="008552CF"/>
    <w:rsid w:val="0086174F"/>
    <w:rsid w:val="00862126"/>
    <w:rsid w:val="008721AC"/>
    <w:rsid w:val="00882C83"/>
    <w:rsid w:val="00891B31"/>
    <w:rsid w:val="00896447"/>
    <w:rsid w:val="008C07C7"/>
    <w:rsid w:val="008D3343"/>
    <w:rsid w:val="008D5389"/>
    <w:rsid w:val="009443CB"/>
    <w:rsid w:val="009474D7"/>
    <w:rsid w:val="009676C4"/>
    <w:rsid w:val="00973129"/>
    <w:rsid w:val="00982FEB"/>
    <w:rsid w:val="0098340F"/>
    <w:rsid w:val="009A058E"/>
    <w:rsid w:val="009A7879"/>
    <w:rsid w:val="009C4973"/>
    <w:rsid w:val="009D74F9"/>
    <w:rsid w:val="009E17FC"/>
    <w:rsid w:val="009F70DF"/>
    <w:rsid w:val="00A23B29"/>
    <w:rsid w:val="00A5425C"/>
    <w:rsid w:val="00A55BA9"/>
    <w:rsid w:val="00A61236"/>
    <w:rsid w:val="00A77206"/>
    <w:rsid w:val="00A905EA"/>
    <w:rsid w:val="00A976A2"/>
    <w:rsid w:val="00AA57FF"/>
    <w:rsid w:val="00AC754C"/>
    <w:rsid w:val="00AE0D9C"/>
    <w:rsid w:val="00AE409E"/>
    <w:rsid w:val="00AE59AD"/>
    <w:rsid w:val="00AF2CB5"/>
    <w:rsid w:val="00B250C2"/>
    <w:rsid w:val="00B53DEA"/>
    <w:rsid w:val="00B63EAF"/>
    <w:rsid w:val="00B74B23"/>
    <w:rsid w:val="00B8270F"/>
    <w:rsid w:val="00B94396"/>
    <w:rsid w:val="00BA2026"/>
    <w:rsid w:val="00BB20DE"/>
    <w:rsid w:val="00BC4C64"/>
    <w:rsid w:val="00BE7C9F"/>
    <w:rsid w:val="00C01587"/>
    <w:rsid w:val="00C05E3E"/>
    <w:rsid w:val="00C15627"/>
    <w:rsid w:val="00C16416"/>
    <w:rsid w:val="00C2279D"/>
    <w:rsid w:val="00C30D86"/>
    <w:rsid w:val="00C337E3"/>
    <w:rsid w:val="00C33842"/>
    <w:rsid w:val="00C46CBC"/>
    <w:rsid w:val="00C51886"/>
    <w:rsid w:val="00C60989"/>
    <w:rsid w:val="00C60C93"/>
    <w:rsid w:val="00C71FC1"/>
    <w:rsid w:val="00C80620"/>
    <w:rsid w:val="00C85984"/>
    <w:rsid w:val="00C967B1"/>
    <w:rsid w:val="00C973A7"/>
    <w:rsid w:val="00C97DAB"/>
    <w:rsid w:val="00CB4501"/>
    <w:rsid w:val="00D014AB"/>
    <w:rsid w:val="00D02B4F"/>
    <w:rsid w:val="00D16468"/>
    <w:rsid w:val="00D1657F"/>
    <w:rsid w:val="00D22923"/>
    <w:rsid w:val="00D365A4"/>
    <w:rsid w:val="00D4120B"/>
    <w:rsid w:val="00D42922"/>
    <w:rsid w:val="00D52E73"/>
    <w:rsid w:val="00D601C8"/>
    <w:rsid w:val="00D742B2"/>
    <w:rsid w:val="00D80B95"/>
    <w:rsid w:val="00D876D3"/>
    <w:rsid w:val="00DA24AE"/>
    <w:rsid w:val="00DB233F"/>
    <w:rsid w:val="00DD71E4"/>
    <w:rsid w:val="00E10645"/>
    <w:rsid w:val="00E11702"/>
    <w:rsid w:val="00E44277"/>
    <w:rsid w:val="00EA64DB"/>
    <w:rsid w:val="00EC3F68"/>
    <w:rsid w:val="00ED6233"/>
    <w:rsid w:val="00ED7FF1"/>
    <w:rsid w:val="00EE0721"/>
    <w:rsid w:val="00F04797"/>
    <w:rsid w:val="00F231C4"/>
    <w:rsid w:val="00F30C73"/>
    <w:rsid w:val="00F64513"/>
    <w:rsid w:val="00FA3622"/>
    <w:rsid w:val="00FA5C42"/>
    <w:rsid w:val="00FA7263"/>
    <w:rsid w:val="00FC1990"/>
    <w:rsid w:val="00FC33AB"/>
    <w:rsid w:val="00FE1DC4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 Indent"/>
    <w:basedOn w:val="a"/>
    <w:pPr>
      <w:snapToGrid w:val="0"/>
      <w:spacing w:before="60" w:line="340" w:lineRule="atLeast"/>
      <w:ind w:left="602"/>
    </w:pPr>
    <w:rPr>
      <w:rFonts w:eastAsia="華康中楷體"/>
      <w:sz w:val="26"/>
    </w:rPr>
  </w:style>
  <w:style w:type="paragraph" w:styleId="2">
    <w:name w:val="Body Text Indent 2"/>
    <w:basedOn w:val="a"/>
    <w:pPr>
      <w:snapToGrid w:val="0"/>
      <w:spacing w:line="240" w:lineRule="atLeast"/>
      <w:ind w:left="1134" w:hanging="672"/>
    </w:pPr>
    <w:rPr>
      <w:rFonts w:eastAsia="華康中楷體"/>
      <w:sz w:val="22"/>
    </w:rPr>
  </w:style>
  <w:style w:type="paragraph" w:styleId="a6">
    <w:name w:val="Balloon Text"/>
    <w:basedOn w:val="a"/>
    <w:semiHidden/>
    <w:rsid w:val="009443CB"/>
    <w:rPr>
      <w:rFonts w:ascii="Arial" w:hAnsi="Arial"/>
      <w:sz w:val="18"/>
      <w:szCs w:val="18"/>
    </w:rPr>
  </w:style>
  <w:style w:type="character" w:styleId="a7">
    <w:name w:val="annotation reference"/>
    <w:semiHidden/>
    <w:rsid w:val="003F47F2"/>
    <w:rPr>
      <w:sz w:val="18"/>
      <w:szCs w:val="18"/>
    </w:rPr>
  </w:style>
  <w:style w:type="paragraph" w:styleId="a8">
    <w:name w:val="annotation text"/>
    <w:basedOn w:val="a"/>
    <w:semiHidden/>
    <w:rsid w:val="003F47F2"/>
  </w:style>
  <w:style w:type="paragraph" w:styleId="a9">
    <w:name w:val="annotation subject"/>
    <w:basedOn w:val="a8"/>
    <w:next w:val="a8"/>
    <w:semiHidden/>
    <w:rsid w:val="003F47F2"/>
    <w:rPr>
      <w:b/>
      <w:bCs/>
    </w:rPr>
  </w:style>
  <w:style w:type="character" w:styleId="aa">
    <w:name w:val="Hyperlink"/>
    <w:rsid w:val="00A5425C"/>
    <w:rPr>
      <w:color w:val="0000FF"/>
      <w:u w:val="single"/>
    </w:rPr>
  </w:style>
  <w:style w:type="character" w:styleId="ab">
    <w:name w:val="Strong"/>
    <w:qFormat/>
    <w:rsid w:val="00A5425C"/>
    <w:rPr>
      <w:b/>
      <w:bCs/>
    </w:rPr>
  </w:style>
  <w:style w:type="character" w:customStyle="1" w:styleId="text01">
    <w:name w:val="text01"/>
    <w:basedOn w:val="a0"/>
    <w:rsid w:val="00A54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 Indent"/>
    <w:basedOn w:val="a"/>
    <w:pPr>
      <w:snapToGrid w:val="0"/>
      <w:spacing w:before="60" w:line="340" w:lineRule="atLeast"/>
      <w:ind w:left="602"/>
    </w:pPr>
    <w:rPr>
      <w:rFonts w:eastAsia="華康中楷體"/>
      <w:sz w:val="26"/>
    </w:rPr>
  </w:style>
  <w:style w:type="paragraph" w:styleId="2">
    <w:name w:val="Body Text Indent 2"/>
    <w:basedOn w:val="a"/>
    <w:pPr>
      <w:snapToGrid w:val="0"/>
      <w:spacing w:line="240" w:lineRule="atLeast"/>
      <w:ind w:left="1134" w:hanging="672"/>
    </w:pPr>
    <w:rPr>
      <w:rFonts w:eastAsia="華康中楷體"/>
      <w:sz w:val="22"/>
    </w:rPr>
  </w:style>
  <w:style w:type="paragraph" w:styleId="a6">
    <w:name w:val="Balloon Text"/>
    <w:basedOn w:val="a"/>
    <w:semiHidden/>
    <w:rsid w:val="009443CB"/>
    <w:rPr>
      <w:rFonts w:ascii="Arial" w:hAnsi="Arial"/>
      <w:sz w:val="18"/>
      <w:szCs w:val="18"/>
    </w:rPr>
  </w:style>
  <w:style w:type="character" w:styleId="a7">
    <w:name w:val="annotation reference"/>
    <w:semiHidden/>
    <w:rsid w:val="003F47F2"/>
    <w:rPr>
      <w:sz w:val="18"/>
      <w:szCs w:val="18"/>
    </w:rPr>
  </w:style>
  <w:style w:type="paragraph" w:styleId="a8">
    <w:name w:val="annotation text"/>
    <w:basedOn w:val="a"/>
    <w:semiHidden/>
    <w:rsid w:val="003F47F2"/>
  </w:style>
  <w:style w:type="paragraph" w:styleId="a9">
    <w:name w:val="annotation subject"/>
    <w:basedOn w:val="a8"/>
    <w:next w:val="a8"/>
    <w:semiHidden/>
    <w:rsid w:val="003F47F2"/>
    <w:rPr>
      <w:b/>
      <w:bCs/>
    </w:rPr>
  </w:style>
  <w:style w:type="character" w:styleId="aa">
    <w:name w:val="Hyperlink"/>
    <w:rsid w:val="00A5425C"/>
    <w:rPr>
      <w:color w:val="0000FF"/>
      <w:u w:val="single"/>
    </w:rPr>
  </w:style>
  <w:style w:type="character" w:styleId="ab">
    <w:name w:val="Strong"/>
    <w:qFormat/>
    <w:rsid w:val="00A5425C"/>
    <w:rPr>
      <w:b/>
      <w:bCs/>
    </w:rPr>
  </w:style>
  <w:style w:type="character" w:customStyle="1" w:styleId="text01">
    <w:name w:val="text01"/>
    <w:basedOn w:val="a0"/>
    <w:rsid w:val="00A5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60A8995-4EA1-4E9E-BA98-6B168373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2914</Characters>
  <Application>Microsoft Office Word</Application>
  <DocSecurity>0</DocSecurity>
  <Lines>24</Lines>
  <Paragraphs>6</Paragraphs>
  <ScaleCrop>false</ScaleCrop>
  <Company>務實法學基金會</Company>
  <LinksUpToDate>false</LinksUpToDate>
  <CharactersWithSpaces>3419</CharactersWithSpaces>
  <SharedDoc>false</SharedDoc>
  <HLinks>
    <vt:vector size="24" baseType="variant">
      <vt:variant>
        <vt:i4>575796842</vt:i4>
      </vt:variant>
      <vt:variant>
        <vt:i4>9</vt:i4>
      </vt:variant>
      <vt:variant>
        <vt:i4>0</vt:i4>
      </vt:variant>
      <vt:variant>
        <vt:i4>5</vt:i4>
      </vt:variant>
      <vt:variant>
        <vt:lpwstr>http://lib.ncl.edu.tw/cgi-bin/uz1?routine=holding&amp;NTI=近代私法史</vt:lpwstr>
      </vt:variant>
      <vt:variant>
        <vt:lpwstr/>
      </vt:variant>
      <vt:variant>
        <vt:i4>1587322545</vt:i4>
      </vt:variant>
      <vt:variant>
        <vt:i4>6</vt:i4>
      </vt:variant>
      <vt:variant>
        <vt:i4>0</vt:i4>
      </vt:variant>
      <vt:variant>
        <vt:i4>5</vt:i4>
      </vt:variant>
      <vt:variant>
        <vt:lpwstr>http://lib.ncl.edu.tw/cgi-bin/uz1?routine=holding&amp;AUN=黃建輝</vt:lpwstr>
      </vt:variant>
      <vt:variant>
        <vt:lpwstr/>
      </vt:variant>
      <vt:variant>
        <vt:i4>1635620353</vt:i4>
      </vt:variant>
      <vt:variant>
        <vt:i4>3</vt:i4>
      </vt:variant>
      <vt:variant>
        <vt:i4>0</vt:i4>
      </vt:variant>
      <vt:variant>
        <vt:i4>5</vt:i4>
      </vt:variant>
      <vt:variant>
        <vt:lpwstr>http://lib.ncl.edu.tw/cgi-bin/uz1?routine=holding&amp;AUN=陳愛娥</vt:lpwstr>
      </vt:variant>
      <vt:variant>
        <vt:lpwstr/>
      </vt:variant>
      <vt:variant>
        <vt:i4>7798886</vt:i4>
      </vt:variant>
      <vt:variant>
        <vt:i4>0</vt:i4>
      </vt:variant>
      <vt:variant>
        <vt:i4>0</vt:i4>
      </vt:variant>
      <vt:variant>
        <vt:i4>5</vt:i4>
      </vt:variant>
      <vt:variant>
        <vt:lpwstr>http://lib.ncl.edu.tw/cgi-bin/uz1?routine=holding&amp;AUN=Wieacker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八十八年度徵選法學論文辦法</dc:title>
  <dc:creator>LIMO</dc:creator>
  <cp:keywords>徵文辦法</cp:keywords>
  <dc:description>(本年度刊於中央日報四月九日頭版)</dc:description>
  <cp:lastModifiedBy>jenniehsu</cp:lastModifiedBy>
  <cp:revision>3</cp:revision>
  <cp:lastPrinted>2018-09-11T09:19:00Z</cp:lastPrinted>
  <dcterms:created xsi:type="dcterms:W3CDTF">2023-03-15T06:34:00Z</dcterms:created>
  <dcterms:modified xsi:type="dcterms:W3CDTF">2023-03-15T06:40:00Z</dcterms:modified>
  <cp:category>基金會論文類</cp:category>
</cp:coreProperties>
</file>